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095E0E" w14:textId="77777777" w:rsidR="00412DFE" w:rsidRDefault="00412DFE">
      <w:pPr>
        <w:spacing w:after="80"/>
        <w:rPr>
          <w:sz w:val="8"/>
          <w:szCs w:val="8"/>
          <w:lang w:eastAsia="en-GB"/>
        </w:rPr>
      </w:pPr>
    </w:p>
    <w:tbl>
      <w:tblPr>
        <w:tblStyle w:val="GridTable4-Accent1"/>
        <w:tblW w:w="5000" w:type="pct"/>
        <w:shd w:val="clear" w:color="auto" w:fill="7EAAF0"/>
        <w:tblLook w:val="04A0" w:firstRow="1" w:lastRow="0" w:firstColumn="1" w:lastColumn="0" w:noHBand="0" w:noVBand="1"/>
      </w:tblPr>
      <w:tblGrid>
        <w:gridCol w:w="10467"/>
      </w:tblGrid>
      <w:tr w:rsidR="007B2E79" w14:paraId="3FE59DB3" w14:textId="77777777" w:rsidTr="007B2E7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nil"/>
              <w:left w:val="nil"/>
              <w:bottom w:val="nil"/>
              <w:right w:val="nil"/>
            </w:tcBorders>
            <w:shd w:val="clear" w:color="auto" w:fill="7EAAF0"/>
            <w:tcMar>
              <w:top w:w="100" w:type="dxa"/>
              <w:left w:w="140" w:type="dxa"/>
              <w:bottom w:w="100" w:type="dxa"/>
              <w:right w:w="140" w:type="dxa"/>
            </w:tcMar>
            <w:hideMark/>
          </w:tcPr>
          <w:p w14:paraId="247BE3F9" w14:textId="77777777" w:rsidR="007B2E79" w:rsidRDefault="007B2E79">
            <w:pPr>
              <w:jc w:val="center"/>
              <w:rPr>
                <w:sz w:val="36"/>
                <w:szCs w:val="36"/>
                <w:lang w:eastAsia="en-GB"/>
              </w:rPr>
            </w:pPr>
            <w:r>
              <w:rPr>
                <w:sz w:val="36"/>
                <w:szCs w:val="36"/>
              </w:rPr>
              <w:t>Example hospital discharge summary for an individual with cardiorenal disease on RAASi* therapy with hyperkalaemia</w:t>
            </w:r>
          </w:p>
        </w:tc>
      </w:tr>
      <w:tr w:rsidR="00F22636" w14:paraId="2F9FCB33" w14:textId="77777777" w:rsidTr="00F22636">
        <w:tblPrEx>
          <w:shd w:val="clear" w:color="auto" w:fill="auto"/>
        </w:tblPrEx>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0" w:type="auto"/>
            <w:tcBorders>
              <w:top w:val="nil"/>
              <w:left w:val="nil"/>
              <w:bottom w:val="nil"/>
              <w:right w:val="nil"/>
            </w:tcBorders>
            <w:shd w:val="clear" w:color="auto" w:fill="FFFFFF"/>
            <w:tcMar>
              <w:top w:w="100" w:type="dxa"/>
              <w:left w:w="140" w:type="dxa"/>
              <w:bottom w:w="100" w:type="dxa"/>
              <w:right w:w="140" w:type="dxa"/>
            </w:tcMar>
            <w:hideMark/>
          </w:tcPr>
          <w:p w14:paraId="33611CEF" w14:textId="77777777" w:rsidR="00F22636" w:rsidRDefault="00F22636">
            <w:pPr>
              <w:spacing w:line="280" w:lineRule="atLeast"/>
              <w:rPr>
                <w:lang w:eastAsia="en-GB"/>
              </w:rPr>
            </w:pPr>
          </w:p>
        </w:tc>
      </w:tr>
      <w:tr w:rsidR="003B3CBB" w14:paraId="09195061" w14:textId="77777777" w:rsidTr="00811F75">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B000"/>
        </w:tblPrEx>
        <w:tc>
          <w:tcPr>
            <w:cnfStyle w:val="001000000000" w:firstRow="0" w:lastRow="0" w:firstColumn="1" w:lastColumn="0" w:oddVBand="0" w:evenVBand="0" w:oddHBand="0" w:evenHBand="0" w:firstRowFirstColumn="0" w:firstRowLastColumn="0" w:lastRowFirstColumn="0" w:lastRowLastColumn="0"/>
            <w:tcW w:w="0" w:type="auto"/>
            <w:shd w:val="clear" w:color="auto" w:fill="FFB000"/>
            <w:hideMark/>
          </w:tcPr>
          <w:p w14:paraId="5AC66B90" w14:textId="77777777" w:rsidR="003B3CBB" w:rsidRDefault="003B3CBB">
            <w:pPr>
              <w:jc w:val="center"/>
              <w:rPr>
                <w:lang w:eastAsia="en-GB"/>
              </w:rPr>
            </w:pPr>
            <w:r>
              <w:t>Two key aims:</w:t>
            </w:r>
          </w:p>
        </w:tc>
      </w:tr>
    </w:tbl>
    <w:tbl>
      <w:tblPr>
        <w:tblStyle w:val="PlainTable1"/>
        <w:tblW w:w="5000" w:type="pct"/>
        <w:tblLook w:val="04A0" w:firstRow="1" w:lastRow="0" w:firstColumn="1" w:lastColumn="0" w:noHBand="0" w:noVBand="1"/>
      </w:tblPr>
      <w:tblGrid>
        <w:gridCol w:w="1254"/>
        <w:gridCol w:w="3974"/>
        <w:gridCol w:w="1255"/>
        <w:gridCol w:w="3974"/>
      </w:tblGrid>
      <w:tr w:rsidR="007B2E79" w14:paraId="55873AFA"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0" w:type="pct"/>
            <w:hideMark/>
          </w:tcPr>
          <w:p w14:paraId="0F84A435" w14:textId="77777777" w:rsidR="007B2E79" w:rsidRDefault="007B2E79">
            <w:pPr>
              <w:rPr>
                <w:color w:val="A9C8F8"/>
                <w:sz w:val="84"/>
                <w:szCs w:val="84"/>
                <w:lang w:eastAsia="en-GB"/>
              </w:rPr>
            </w:pPr>
            <w:r>
              <w:rPr>
                <w:color w:val="A9C8F8"/>
                <w:sz w:val="84"/>
                <w:szCs w:val="84"/>
              </w:rPr>
              <w:t>1</w:t>
            </w:r>
          </w:p>
        </w:tc>
        <w:tc>
          <w:tcPr>
            <w:tcW w:w="1900" w:type="pct"/>
            <w:hideMark/>
          </w:tcPr>
          <w:p w14:paraId="6E9C42FE" w14:textId="77777777" w:rsidR="007B2E79" w:rsidRDefault="007B2E79">
            <w:pPr>
              <w:cnfStyle w:val="100000000000" w:firstRow="1" w:lastRow="0" w:firstColumn="0" w:lastColumn="0" w:oddVBand="0" w:evenVBand="0" w:oddHBand="0" w:evenHBand="0" w:firstRowFirstColumn="0" w:firstRowLastColumn="0" w:lastRowFirstColumn="0" w:lastRowLastColumn="0"/>
              <w:rPr>
                <w:sz w:val="18"/>
                <w:szCs w:val="18"/>
              </w:rPr>
            </w:pPr>
            <w:r>
              <w:rPr>
                <w:sz w:val="18"/>
                <w:szCs w:val="18"/>
              </w:rPr>
              <w:t>The optimisation of RAASi therapies for cardiorenal protection</w:t>
            </w:r>
          </w:p>
        </w:tc>
        <w:tc>
          <w:tcPr>
            <w:tcW w:w="600" w:type="pct"/>
            <w:hideMark/>
          </w:tcPr>
          <w:p w14:paraId="7BC2FDE2" w14:textId="77777777" w:rsidR="007B2E79" w:rsidRDefault="007B2E79">
            <w:pPr>
              <w:cnfStyle w:val="100000000000" w:firstRow="1" w:lastRow="0" w:firstColumn="0" w:lastColumn="0" w:oddVBand="0" w:evenVBand="0" w:oddHBand="0" w:evenHBand="0" w:firstRowFirstColumn="0" w:firstRowLastColumn="0" w:lastRowFirstColumn="0" w:lastRowLastColumn="0"/>
              <w:rPr>
                <w:color w:val="A9C8F8"/>
                <w:sz w:val="84"/>
                <w:szCs w:val="84"/>
              </w:rPr>
            </w:pPr>
            <w:r>
              <w:rPr>
                <w:color w:val="A9C8F8"/>
                <w:sz w:val="84"/>
                <w:szCs w:val="84"/>
              </w:rPr>
              <w:t>2</w:t>
            </w:r>
          </w:p>
        </w:tc>
        <w:tc>
          <w:tcPr>
            <w:tcW w:w="1900" w:type="pct"/>
            <w:hideMark/>
          </w:tcPr>
          <w:p w14:paraId="0292D1CC" w14:textId="77777777" w:rsidR="007B2E79" w:rsidRDefault="007B2E79">
            <w:pPr>
              <w:cnfStyle w:val="100000000000" w:firstRow="1" w:lastRow="0" w:firstColumn="0" w:lastColumn="0" w:oddVBand="0" w:evenVBand="0" w:oddHBand="0" w:evenHBand="0" w:firstRowFirstColumn="0" w:firstRowLastColumn="0" w:lastRowFirstColumn="0" w:lastRowLastColumn="0"/>
              <w:rPr>
                <w:sz w:val="18"/>
                <w:szCs w:val="18"/>
              </w:rPr>
            </w:pPr>
            <w:r>
              <w:rPr>
                <w:sz w:val="18"/>
                <w:szCs w:val="18"/>
              </w:rPr>
              <w:t>The prevention and management of hyperkalaemia</w:t>
            </w:r>
          </w:p>
        </w:tc>
      </w:tr>
    </w:tbl>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Look w:val="04A0" w:firstRow="1" w:lastRow="0" w:firstColumn="1" w:lastColumn="0" w:noHBand="0" w:noVBand="1"/>
      </w:tblPr>
      <w:tblGrid>
        <w:gridCol w:w="3506"/>
        <w:gridCol w:w="887"/>
        <w:gridCol w:w="605"/>
        <w:gridCol w:w="605"/>
        <w:gridCol w:w="602"/>
        <w:gridCol w:w="602"/>
        <w:gridCol w:w="602"/>
        <w:gridCol w:w="410"/>
        <w:gridCol w:w="410"/>
        <w:gridCol w:w="2222"/>
      </w:tblGrid>
      <w:tr w:rsidR="007B2E79" w14:paraId="5CDDBCE5" w14:textId="77777777">
        <w:tc>
          <w:tcPr>
            <w:tcW w:w="0" w:type="auto"/>
            <w:gridSpan w:val="10"/>
            <w:tcBorders>
              <w:top w:val="single" w:sz="6" w:space="0" w:color="7EAAF0"/>
              <w:left w:val="single" w:sz="6" w:space="0" w:color="7EAAF0"/>
              <w:bottom w:val="single" w:sz="6" w:space="0" w:color="7EAAF0"/>
              <w:right w:val="single" w:sz="6" w:space="0" w:color="7EAAF0"/>
            </w:tcBorders>
            <w:shd w:val="clear" w:color="auto" w:fill="FFFFFF"/>
            <w:tcMar>
              <w:top w:w="60" w:type="dxa"/>
              <w:left w:w="140" w:type="dxa"/>
              <w:bottom w:w="60" w:type="dxa"/>
              <w:right w:w="140" w:type="dxa"/>
            </w:tcMar>
            <w:hideMark/>
          </w:tcPr>
          <w:p w14:paraId="51CF143F" w14:textId="77777777" w:rsidR="007B2E79" w:rsidRDefault="007B2E79">
            <w:pPr>
              <w:spacing w:after="60"/>
              <w:rPr>
                <w:sz w:val="20"/>
                <w:szCs w:val="20"/>
                <w:lang w:eastAsia="en-GB"/>
              </w:rPr>
            </w:pPr>
            <w:r>
              <w:rPr>
                <w:b/>
                <w:bCs/>
                <w:sz w:val="20"/>
                <w:szCs w:val="20"/>
              </w:rPr>
              <w:t>Administration details</w:t>
            </w:r>
          </w:p>
          <w:p w14:paraId="10488942" w14:textId="77777777" w:rsidR="007B2E79" w:rsidRDefault="007B2E79">
            <w:pPr>
              <w:spacing w:after="60"/>
              <w:rPr>
                <w:sz w:val="16"/>
                <w:szCs w:val="16"/>
              </w:rPr>
            </w:pPr>
            <w:r>
              <w:rPr>
                <w:b/>
                <w:bCs/>
                <w:sz w:val="16"/>
                <w:szCs w:val="16"/>
              </w:rPr>
              <w:t>Name:</w:t>
            </w:r>
            <w:r>
              <w:rPr>
                <w:sz w:val="16"/>
                <w:szCs w:val="16"/>
              </w:rPr>
              <w:t xml:space="preserve"> ____________________   </w:t>
            </w:r>
            <w:r>
              <w:rPr>
                <w:b/>
                <w:bCs/>
                <w:sz w:val="16"/>
                <w:szCs w:val="16"/>
              </w:rPr>
              <w:t>Date of birth:</w:t>
            </w:r>
            <w:r>
              <w:rPr>
                <w:sz w:val="16"/>
                <w:szCs w:val="16"/>
              </w:rPr>
              <w:t xml:space="preserve"> __________   </w:t>
            </w:r>
            <w:r>
              <w:rPr>
                <w:b/>
                <w:bCs/>
                <w:sz w:val="16"/>
                <w:szCs w:val="16"/>
              </w:rPr>
              <w:t>Address:</w:t>
            </w:r>
            <w:r>
              <w:rPr>
                <w:sz w:val="16"/>
                <w:szCs w:val="16"/>
              </w:rPr>
              <w:t xml:space="preserve"> __________________________________</w:t>
            </w:r>
          </w:p>
          <w:p w14:paraId="49C670AF" w14:textId="77777777" w:rsidR="007B2E79" w:rsidRDefault="007B2E79">
            <w:pPr>
              <w:rPr>
                <w:sz w:val="16"/>
                <w:szCs w:val="16"/>
              </w:rPr>
            </w:pPr>
            <w:r>
              <w:rPr>
                <w:b/>
                <w:bCs/>
                <w:sz w:val="16"/>
                <w:szCs w:val="16"/>
              </w:rPr>
              <w:t>Admission date:</w:t>
            </w:r>
            <w:r>
              <w:rPr>
                <w:sz w:val="16"/>
                <w:szCs w:val="16"/>
              </w:rPr>
              <w:t xml:space="preserve"> __________   </w:t>
            </w:r>
            <w:r>
              <w:rPr>
                <w:b/>
                <w:bCs/>
                <w:sz w:val="16"/>
                <w:szCs w:val="16"/>
              </w:rPr>
              <w:t>Discharge date:</w:t>
            </w:r>
            <w:r>
              <w:rPr>
                <w:sz w:val="16"/>
                <w:szCs w:val="16"/>
              </w:rPr>
              <w:t xml:space="preserve"> __________   </w:t>
            </w:r>
            <w:r>
              <w:rPr>
                <w:b/>
                <w:bCs/>
                <w:sz w:val="16"/>
                <w:szCs w:val="16"/>
              </w:rPr>
              <w:t>Ward:</w:t>
            </w:r>
            <w:r>
              <w:rPr>
                <w:sz w:val="16"/>
                <w:szCs w:val="16"/>
              </w:rPr>
              <w:t xml:space="preserve"> __________   </w:t>
            </w:r>
            <w:r>
              <w:rPr>
                <w:b/>
                <w:bCs/>
                <w:sz w:val="16"/>
                <w:szCs w:val="16"/>
              </w:rPr>
              <w:t>Consultant:</w:t>
            </w:r>
            <w:r>
              <w:rPr>
                <w:sz w:val="16"/>
                <w:szCs w:val="16"/>
              </w:rPr>
              <w:t xml:space="preserve"> __________</w:t>
            </w:r>
          </w:p>
        </w:tc>
      </w:tr>
      <w:tr w:rsidR="007B2E79" w14:paraId="5376F947" w14:textId="77777777">
        <w:tc>
          <w:tcPr>
            <w:tcW w:w="0" w:type="auto"/>
            <w:gridSpan w:val="2"/>
            <w:shd w:val="clear" w:color="auto" w:fill="7EAAF0"/>
            <w:tcMar>
              <w:top w:w="60" w:type="dxa"/>
              <w:left w:w="140" w:type="dxa"/>
              <w:bottom w:w="60" w:type="dxa"/>
              <w:right w:w="140" w:type="dxa"/>
            </w:tcMar>
            <w:hideMark/>
          </w:tcPr>
          <w:p w14:paraId="41A4766E" w14:textId="77777777" w:rsidR="007B2E79" w:rsidRDefault="007B2E79">
            <w:pPr>
              <w:rPr>
                <w:sz w:val="16"/>
                <w:szCs w:val="16"/>
              </w:rPr>
            </w:pPr>
            <w:r>
              <w:rPr>
                <w:sz w:val="16"/>
                <w:szCs w:val="16"/>
              </w:rPr>
              <w:t>Copy discharge summary to:</w:t>
            </w:r>
          </w:p>
        </w:tc>
        <w:tc>
          <w:tcPr>
            <w:tcW w:w="0" w:type="auto"/>
            <w:gridSpan w:val="5"/>
            <w:shd w:val="clear" w:color="auto" w:fill="A9C8F8"/>
            <w:tcMar>
              <w:top w:w="60" w:type="dxa"/>
              <w:left w:w="140" w:type="dxa"/>
              <w:bottom w:w="60" w:type="dxa"/>
              <w:right w:w="140" w:type="dxa"/>
            </w:tcMar>
            <w:hideMark/>
          </w:tcPr>
          <w:p w14:paraId="5D60409C" w14:textId="77777777" w:rsidR="007B2E79" w:rsidRDefault="007B2E79">
            <w:pPr>
              <w:jc w:val="center"/>
              <w:rPr>
                <w:sz w:val="16"/>
                <w:szCs w:val="16"/>
              </w:rPr>
            </w:pPr>
            <w:r>
              <w:rPr>
                <w:sz w:val="16"/>
                <w:szCs w:val="16"/>
              </w:rPr>
              <w:t>All treating specialists</w:t>
            </w:r>
          </w:p>
        </w:tc>
        <w:tc>
          <w:tcPr>
            <w:tcW w:w="0" w:type="auto"/>
            <w:gridSpan w:val="2"/>
            <w:shd w:val="clear" w:color="auto" w:fill="A9C8F8"/>
            <w:tcMar>
              <w:top w:w="60" w:type="dxa"/>
              <w:left w:w="140" w:type="dxa"/>
              <w:bottom w:w="60" w:type="dxa"/>
              <w:right w:w="140" w:type="dxa"/>
            </w:tcMar>
            <w:hideMark/>
          </w:tcPr>
          <w:p w14:paraId="509B9B07" w14:textId="77777777" w:rsidR="007B2E79" w:rsidRDefault="007B2E79">
            <w:pPr>
              <w:jc w:val="center"/>
              <w:rPr>
                <w:sz w:val="16"/>
                <w:szCs w:val="16"/>
              </w:rPr>
            </w:pPr>
            <w:r>
              <w:rPr>
                <w:sz w:val="16"/>
                <w:szCs w:val="16"/>
              </w:rPr>
              <w:t>GP</w:t>
            </w:r>
          </w:p>
        </w:tc>
        <w:tc>
          <w:tcPr>
            <w:tcW w:w="0" w:type="auto"/>
            <w:shd w:val="clear" w:color="auto" w:fill="A9C8F8"/>
            <w:tcMar>
              <w:top w:w="60" w:type="dxa"/>
              <w:left w:w="140" w:type="dxa"/>
              <w:bottom w:w="60" w:type="dxa"/>
              <w:right w:w="140" w:type="dxa"/>
            </w:tcMar>
            <w:hideMark/>
          </w:tcPr>
          <w:p w14:paraId="7C974D22" w14:textId="77777777" w:rsidR="007B2E79" w:rsidRDefault="007B2E79">
            <w:pPr>
              <w:jc w:val="center"/>
              <w:rPr>
                <w:sz w:val="16"/>
                <w:szCs w:val="16"/>
              </w:rPr>
            </w:pPr>
            <w:r>
              <w:rPr>
                <w:sz w:val="16"/>
                <w:szCs w:val="16"/>
              </w:rPr>
              <w:t>Patient</w:t>
            </w:r>
          </w:p>
        </w:tc>
      </w:tr>
      <w:tr w:rsidR="007B2E79" w14:paraId="61A3F38F" w14:textId="77777777" w:rsidTr="007B2E7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rPr>
          <w:gridAfter w:val="9"/>
          <w:wAfter w:w="9499" w:type="dxa"/>
          <w:trHeight w:val="100"/>
        </w:trPr>
        <w:tc>
          <w:tcPr>
            <w:tcW w:w="0" w:type="auto"/>
            <w:tcBorders>
              <w:top w:val="nil"/>
              <w:left w:val="nil"/>
              <w:bottom w:val="nil"/>
              <w:right w:val="nil"/>
            </w:tcBorders>
            <w:shd w:val="clear" w:color="auto" w:fill="FFFFFF"/>
            <w:tcMar>
              <w:top w:w="0" w:type="dxa"/>
              <w:left w:w="0" w:type="dxa"/>
              <w:bottom w:w="0" w:type="dxa"/>
              <w:right w:w="0" w:type="dxa"/>
            </w:tcMar>
            <w:vAlign w:val="center"/>
            <w:hideMark/>
          </w:tcPr>
          <w:p w14:paraId="0F5C43DB" w14:textId="77777777" w:rsidR="007B2E79" w:rsidRDefault="007B2E79">
            <w:pPr>
              <w:rPr>
                <w:sz w:val="2"/>
                <w:szCs w:val="2"/>
                <w:lang w:eastAsia="en-GB"/>
              </w:rPr>
            </w:pPr>
          </w:p>
        </w:tc>
      </w:tr>
      <w:tr w:rsidR="007B2E79" w14:paraId="30885DBC" w14:textId="77777777">
        <w:tblPrEx>
          <w:shd w:val="clear" w:color="auto" w:fill="FFE3A3"/>
        </w:tblPrEx>
        <w:tc>
          <w:tcPr>
            <w:tcW w:w="0" w:type="auto"/>
            <w:gridSpan w:val="10"/>
            <w:tcBorders>
              <w:top w:val="single" w:sz="6" w:space="0" w:color="FFB000"/>
              <w:left w:val="single" w:sz="6" w:space="0" w:color="FFB000"/>
              <w:bottom w:val="single" w:sz="6" w:space="0" w:color="FFB000"/>
              <w:right w:val="single" w:sz="6" w:space="0" w:color="FFB000"/>
            </w:tcBorders>
            <w:shd w:val="clear" w:color="auto" w:fill="FFE3A3"/>
            <w:tcMar>
              <w:top w:w="60" w:type="dxa"/>
              <w:left w:w="140" w:type="dxa"/>
              <w:bottom w:w="60" w:type="dxa"/>
              <w:right w:w="140" w:type="dxa"/>
            </w:tcMar>
            <w:hideMark/>
          </w:tcPr>
          <w:p w14:paraId="01944785" w14:textId="77777777" w:rsidR="007B2E79" w:rsidRDefault="007B2E79">
            <w:pPr>
              <w:rPr>
                <w:sz w:val="18"/>
                <w:szCs w:val="18"/>
                <w:lang w:eastAsia="en-GB"/>
              </w:rPr>
            </w:pPr>
            <w:r>
              <w:rPr>
                <w:b/>
                <w:bCs/>
                <w:sz w:val="18"/>
                <w:szCs w:val="18"/>
              </w:rPr>
              <w:t>Reason for admission:</w:t>
            </w:r>
            <w:r>
              <w:rPr>
                <w:sz w:val="18"/>
                <w:szCs w:val="18"/>
              </w:rPr>
              <w:t xml:space="preserve"> Hyperkalaemia</w:t>
            </w:r>
          </w:p>
        </w:tc>
      </w:tr>
      <w:tr w:rsidR="007B2E79" w14:paraId="6B73D56E" w14:textId="77777777" w:rsidTr="007B2E7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rPr>
          <w:trHeight w:val="100"/>
        </w:trPr>
        <w:tc>
          <w:tcPr>
            <w:tcW w:w="0" w:type="auto"/>
            <w:gridSpan w:val="10"/>
            <w:tcBorders>
              <w:top w:val="nil"/>
              <w:left w:val="nil"/>
              <w:bottom w:val="nil"/>
              <w:right w:val="nil"/>
            </w:tcBorders>
            <w:shd w:val="clear" w:color="auto" w:fill="FFFFFF"/>
            <w:tcMar>
              <w:top w:w="60" w:type="dxa"/>
              <w:left w:w="140" w:type="dxa"/>
              <w:bottom w:w="60" w:type="dxa"/>
              <w:right w:w="140" w:type="dxa"/>
            </w:tcMar>
            <w:vAlign w:val="center"/>
            <w:hideMark/>
          </w:tcPr>
          <w:p w14:paraId="7385B4BE" w14:textId="77777777" w:rsidR="007B2E79" w:rsidRDefault="007B2E79">
            <w:pPr>
              <w:rPr>
                <w:sz w:val="2"/>
                <w:szCs w:val="2"/>
                <w:lang w:eastAsia="en-GB"/>
              </w:rPr>
            </w:pPr>
          </w:p>
        </w:tc>
      </w:tr>
      <w:tr w:rsidR="007B2E79" w14:paraId="04C796E4" w14:textId="77777777">
        <w:tblPrEx>
          <w:shd w:val="clear" w:color="auto" w:fill="FFD36A"/>
        </w:tblPrEx>
        <w:tc>
          <w:tcPr>
            <w:tcW w:w="0" w:type="auto"/>
            <w:gridSpan w:val="10"/>
            <w:tcBorders>
              <w:top w:val="single" w:sz="6" w:space="0" w:color="FFB000"/>
              <w:left w:val="single" w:sz="6" w:space="0" w:color="FFB000"/>
              <w:bottom w:val="single" w:sz="6" w:space="0" w:color="FFB000"/>
              <w:right w:val="single" w:sz="6" w:space="0" w:color="FFB000"/>
            </w:tcBorders>
            <w:shd w:val="clear" w:color="auto" w:fill="FFD36A"/>
            <w:tcMar>
              <w:top w:w="60" w:type="dxa"/>
              <w:left w:w="140" w:type="dxa"/>
              <w:bottom w:w="60" w:type="dxa"/>
              <w:right w:w="140" w:type="dxa"/>
            </w:tcMar>
            <w:hideMark/>
          </w:tcPr>
          <w:p w14:paraId="193AEDF5" w14:textId="77777777" w:rsidR="007B2E79" w:rsidRDefault="007B2E79">
            <w:pPr>
              <w:spacing w:after="40"/>
              <w:rPr>
                <w:sz w:val="20"/>
                <w:szCs w:val="20"/>
                <w:lang w:eastAsia="en-GB"/>
              </w:rPr>
            </w:pPr>
            <w:r>
              <w:rPr>
                <w:b/>
                <w:bCs/>
                <w:sz w:val="20"/>
                <w:szCs w:val="20"/>
              </w:rPr>
              <w:t>Clinical narrative</w:t>
            </w:r>
          </w:p>
        </w:tc>
      </w:tr>
      <w:tr w:rsidR="007B2E79" w14:paraId="5B0B2923" w14:textId="77777777">
        <w:tblPrEx>
          <w:shd w:val="clear" w:color="auto" w:fill="FFD36A"/>
        </w:tblPrEx>
        <w:tc>
          <w:tcPr>
            <w:tcW w:w="2100" w:type="pct"/>
            <w:gridSpan w:val="2"/>
            <w:tcBorders>
              <w:left w:val="single" w:sz="6" w:space="0" w:color="FFB000"/>
              <w:bottom w:val="single" w:sz="6" w:space="0" w:color="FFB000"/>
            </w:tcBorders>
            <w:shd w:val="clear" w:color="auto" w:fill="FFD36A"/>
            <w:tcMar>
              <w:top w:w="40" w:type="dxa"/>
              <w:left w:w="140" w:type="dxa"/>
              <w:bottom w:w="40" w:type="dxa"/>
              <w:right w:w="140" w:type="dxa"/>
            </w:tcMar>
            <w:hideMark/>
          </w:tcPr>
          <w:p w14:paraId="77F455DB" w14:textId="77777777" w:rsidR="007B2E79" w:rsidRDefault="007B2E79">
            <w:pPr>
              <w:spacing w:after="20"/>
              <w:rPr>
                <w:sz w:val="16"/>
                <w:szCs w:val="16"/>
              </w:rPr>
            </w:pPr>
            <w:r>
              <w:rPr>
                <w:sz w:val="16"/>
                <w:szCs w:val="16"/>
              </w:rPr>
              <w:t>✓ Presentation, e.g. acutely unwell, or hyperkalaemia on routine blood test</w:t>
            </w:r>
          </w:p>
          <w:p w14:paraId="738EB921" w14:textId="77777777" w:rsidR="007B2E79" w:rsidRDefault="007B2E79">
            <w:pPr>
              <w:spacing w:after="20"/>
              <w:rPr>
                <w:sz w:val="16"/>
                <w:szCs w:val="16"/>
              </w:rPr>
            </w:pPr>
            <w:r>
              <w:rPr>
                <w:sz w:val="16"/>
                <w:szCs w:val="16"/>
              </w:rPr>
              <w:t>✓ Cause of hyperkalaemia</w:t>
            </w:r>
          </w:p>
          <w:p w14:paraId="45610985" w14:textId="77777777" w:rsidR="007B2E79" w:rsidRDefault="007B2E79">
            <w:pPr>
              <w:spacing w:after="20"/>
              <w:rPr>
                <w:sz w:val="16"/>
                <w:szCs w:val="16"/>
              </w:rPr>
            </w:pPr>
            <w:r>
              <w:rPr>
                <w:sz w:val="16"/>
                <w:szCs w:val="16"/>
              </w:rPr>
              <w:t>✓ Referrals to secondary care teams</w:t>
            </w:r>
          </w:p>
          <w:p w14:paraId="36B707C3" w14:textId="77777777" w:rsidR="007B2E79" w:rsidRDefault="007B2E79">
            <w:pPr>
              <w:spacing w:after="20"/>
              <w:rPr>
                <w:sz w:val="16"/>
                <w:szCs w:val="16"/>
              </w:rPr>
            </w:pPr>
            <w:r>
              <w:rPr>
                <w:sz w:val="16"/>
                <w:szCs w:val="16"/>
              </w:rPr>
              <w:t>✓ Patient information/education provided</w:t>
            </w:r>
          </w:p>
          <w:p w14:paraId="26B19284" w14:textId="77777777" w:rsidR="007B2E79" w:rsidRDefault="007B2E79">
            <w:pPr>
              <w:rPr>
                <w:sz w:val="16"/>
                <w:szCs w:val="16"/>
              </w:rPr>
            </w:pPr>
            <w:r>
              <w:rPr>
                <w:sz w:val="16"/>
                <w:szCs w:val="16"/>
              </w:rPr>
              <w:t>✓ Status at discharge</w:t>
            </w:r>
          </w:p>
        </w:tc>
        <w:tc>
          <w:tcPr>
            <w:tcW w:w="2900" w:type="pct"/>
            <w:gridSpan w:val="8"/>
            <w:tcBorders>
              <w:bottom w:val="single" w:sz="6" w:space="0" w:color="FFB000"/>
              <w:right w:val="single" w:sz="6" w:space="0" w:color="FFB000"/>
            </w:tcBorders>
            <w:shd w:val="clear" w:color="auto" w:fill="FFD36A"/>
            <w:tcMar>
              <w:top w:w="40" w:type="dxa"/>
              <w:left w:w="140" w:type="dxa"/>
              <w:bottom w:w="40" w:type="dxa"/>
              <w:right w:w="140" w:type="dxa"/>
            </w:tcMar>
            <w:hideMark/>
          </w:tcPr>
          <w:p w14:paraId="054EA128" w14:textId="77777777" w:rsidR="007B2E79" w:rsidRDefault="007B2E79">
            <w:pPr>
              <w:spacing w:after="20"/>
              <w:rPr>
                <w:sz w:val="16"/>
                <w:szCs w:val="16"/>
              </w:rPr>
            </w:pPr>
            <w:r>
              <w:rPr>
                <w:sz w:val="16"/>
                <w:szCs w:val="16"/>
              </w:rPr>
              <w:t>✓ Management of hyperkalaemia. Please note:</w:t>
            </w:r>
          </w:p>
          <w:p w14:paraId="34892EC9" w14:textId="77777777" w:rsidR="007B2E79" w:rsidRDefault="007B2E79">
            <w:pPr>
              <w:spacing w:after="20"/>
              <w:rPr>
                <w:sz w:val="16"/>
                <w:szCs w:val="16"/>
              </w:rPr>
            </w:pPr>
            <w:r>
              <w:rPr>
                <w:sz w:val="16"/>
                <w:szCs w:val="16"/>
              </w:rPr>
              <w:t>• Correctable causes addressed</w:t>
            </w:r>
          </w:p>
          <w:p w14:paraId="0DD491CA" w14:textId="77777777" w:rsidR="007B2E79" w:rsidRDefault="007B2E79">
            <w:pPr>
              <w:spacing w:after="20"/>
              <w:rPr>
                <w:sz w:val="16"/>
                <w:szCs w:val="16"/>
              </w:rPr>
            </w:pPr>
            <w:r>
              <w:rPr>
                <w:sz w:val="16"/>
                <w:szCs w:val="16"/>
              </w:rPr>
              <w:t>• Potassium lowering medications utilised</w:t>
            </w:r>
          </w:p>
          <w:p w14:paraId="2EE9B1C6" w14:textId="77777777" w:rsidR="007B2E79" w:rsidRDefault="007B2E79">
            <w:pPr>
              <w:spacing w:after="20"/>
              <w:rPr>
                <w:sz w:val="16"/>
                <w:szCs w:val="16"/>
              </w:rPr>
            </w:pPr>
            <w:r>
              <w:rPr>
                <w:sz w:val="16"/>
                <w:szCs w:val="16"/>
              </w:rPr>
              <w:t>• Prevention of recurrence plans</w:t>
            </w:r>
          </w:p>
          <w:p w14:paraId="5655C608" w14:textId="77777777" w:rsidR="007B2E79" w:rsidRDefault="007B2E79">
            <w:pPr>
              <w:spacing w:after="20"/>
              <w:rPr>
                <w:sz w:val="16"/>
                <w:szCs w:val="16"/>
              </w:rPr>
            </w:pPr>
            <w:r>
              <w:rPr>
                <w:sz w:val="16"/>
                <w:szCs w:val="16"/>
              </w:rPr>
              <w:t xml:space="preserve">• RAASi therapy changes, e.g. if </w:t>
            </w:r>
            <w:proofErr w:type="gramStart"/>
            <w:r>
              <w:rPr>
                <w:sz w:val="16"/>
                <w:szCs w:val="16"/>
              </w:rPr>
              <w:t>down-titrated</w:t>
            </w:r>
            <w:proofErr w:type="gramEnd"/>
            <w:r>
              <w:rPr>
                <w:sz w:val="16"/>
                <w:szCs w:val="16"/>
              </w:rPr>
              <w:t>, plans to re-optimise</w:t>
            </w:r>
          </w:p>
          <w:p w14:paraId="339AF73A" w14:textId="77777777" w:rsidR="007B2E79" w:rsidRDefault="007B2E79">
            <w:pPr>
              <w:rPr>
                <w:sz w:val="16"/>
                <w:szCs w:val="16"/>
              </w:rPr>
            </w:pPr>
            <w:r>
              <w:rPr>
                <w:sz w:val="16"/>
                <w:szCs w:val="16"/>
              </w:rPr>
              <w:t>See ‘Potassium lowering strategies and therapies’ and ‘RAASi therapy in the context of hyperkalaemia’</w:t>
            </w:r>
          </w:p>
        </w:tc>
      </w:tr>
      <w:tr w:rsidR="007B2E79" w14:paraId="75C55AA3" w14:textId="77777777" w:rsidTr="007B2E7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rPr>
          <w:gridAfter w:val="9"/>
          <w:wAfter w:w="9499" w:type="dxa"/>
          <w:trHeight w:val="100"/>
        </w:trPr>
        <w:tc>
          <w:tcPr>
            <w:tcW w:w="0" w:type="auto"/>
            <w:tcBorders>
              <w:top w:val="nil"/>
              <w:left w:val="nil"/>
              <w:bottom w:val="nil"/>
              <w:right w:val="nil"/>
            </w:tcBorders>
            <w:shd w:val="clear" w:color="auto" w:fill="FFFFFF"/>
            <w:tcMar>
              <w:top w:w="0" w:type="dxa"/>
              <w:left w:w="0" w:type="dxa"/>
              <w:bottom w:w="0" w:type="dxa"/>
              <w:right w:w="0" w:type="dxa"/>
            </w:tcMar>
            <w:vAlign w:val="center"/>
            <w:hideMark/>
          </w:tcPr>
          <w:p w14:paraId="3705D4E6" w14:textId="77777777" w:rsidR="007B2E79" w:rsidRDefault="007B2E79">
            <w:pPr>
              <w:rPr>
                <w:sz w:val="2"/>
                <w:szCs w:val="2"/>
                <w:lang w:eastAsia="en-GB"/>
              </w:rPr>
            </w:pPr>
          </w:p>
        </w:tc>
      </w:tr>
      <w:tr w:rsidR="007B2E79" w14:paraId="1441DF2F" w14:textId="77777777">
        <w:tblPrEx>
          <w:shd w:val="clear" w:color="auto" w:fill="FFE3A3"/>
        </w:tblPrEx>
        <w:tc>
          <w:tcPr>
            <w:tcW w:w="0" w:type="auto"/>
            <w:gridSpan w:val="10"/>
            <w:tcBorders>
              <w:top w:val="single" w:sz="6" w:space="0" w:color="FFB000"/>
              <w:left w:val="single" w:sz="6" w:space="0" w:color="FFB000"/>
              <w:bottom w:val="single" w:sz="6" w:space="0" w:color="FFB000"/>
              <w:right w:val="single" w:sz="6" w:space="0" w:color="FFB000"/>
            </w:tcBorders>
            <w:shd w:val="clear" w:color="auto" w:fill="FFE3A3"/>
            <w:tcMar>
              <w:top w:w="60" w:type="dxa"/>
              <w:left w:w="140" w:type="dxa"/>
              <w:bottom w:w="60" w:type="dxa"/>
              <w:right w:w="140" w:type="dxa"/>
            </w:tcMar>
            <w:hideMark/>
          </w:tcPr>
          <w:p w14:paraId="39BC9F8E" w14:textId="77777777" w:rsidR="007B2E79" w:rsidRDefault="007B2E79">
            <w:pPr>
              <w:spacing w:after="40"/>
              <w:rPr>
                <w:sz w:val="20"/>
                <w:szCs w:val="20"/>
                <w:lang w:eastAsia="en-GB"/>
              </w:rPr>
            </w:pPr>
            <w:r>
              <w:rPr>
                <w:b/>
                <w:bCs/>
                <w:sz w:val="20"/>
                <w:szCs w:val="20"/>
              </w:rPr>
              <w:t>Investigations</w:t>
            </w:r>
          </w:p>
        </w:tc>
      </w:tr>
      <w:tr w:rsidR="007B2E79" w14:paraId="30E4EB89" w14:textId="77777777">
        <w:tblPrEx>
          <w:shd w:val="clear" w:color="auto" w:fill="FFE3A3"/>
        </w:tblPrEx>
        <w:tc>
          <w:tcPr>
            <w:tcW w:w="2400" w:type="pct"/>
            <w:gridSpan w:val="5"/>
            <w:tcBorders>
              <w:left w:val="single" w:sz="6" w:space="0" w:color="FFB000"/>
              <w:bottom w:val="single" w:sz="6" w:space="0" w:color="FFB000"/>
            </w:tcBorders>
            <w:shd w:val="clear" w:color="auto" w:fill="FFE3A3"/>
            <w:tcMar>
              <w:top w:w="40" w:type="dxa"/>
              <w:left w:w="140" w:type="dxa"/>
              <w:bottom w:w="40" w:type="dxa"/>
              <w:right w:w="140" w:type="dxa"/>
            </w:tcMar>
            <w:hideMark/>
          </w:tcPr>
          <w:p w14:paraId="3E1BC453" w14:textId="77777777" w:rsidR="007B2E79" w:rsidRDefault="007B2E79">
            <w:pPr>
              <w:rPr>
                <w:sz w:val="16"/>
                <w:szCs w:val="16"/>
              </w:rPr>
            </w:pPr>
            <w:r>
              <w:rPr>
                <w:sz w:val="16"/>
                <w:szCs w:val="16"/>
              </w:rPr>
              <w:t>Investigation</w:t>
            </w:r>
          </w:p>
        </w:tc>
        <w:tc>
          <w:tcPr>
            <w:tcW w:w="2600" w:type="pct"/>
            <w:gridSpan w:val="5"/>
            <w:tcBorders>
              <w:bottom w:val="single" w:sz="6" w:space="0" w:color="FFB000"/>
              <w:right w:val="single" w:sz="6" w:space="0" w:color="FFB000"/>
            </w:tcBorders>
            <w:shd w:val="clear" w:color="auto" w:fill="FFE3A3"/>
            <w:tcMar>
              <w:top w:w="40" w:type="dxa"/>
              <w:left w:w="140" w:type="dxa"/>
              <w:bottom w:w="40" w:type="dxa"/>
              <w:right w:w="140" w:type="dxa"/>
            </w:tcMar>
            <w:hideMark/>
          </w:tcPr>
          <w:p w14:paraId="4A476B1C" w14:textId="77777777" w:rsidR="007B2E79" w:rsidRDefault="007B2E79">
            <w:pPr>
              <w:rPr>
                <w:sz w:val="16"/>
                <w:szCs w:val="16"/>
              </w:rPr>
            </w:pPr>
            <w:r>
              <w:rPr>
                <w:sz w:val="16"/>
                <w:szCs w:val="16"/>
              </w:rPr>
              <w:t>Results</w:t>
            </w:r>
          </w:p>
        </w:tc>
      </w:tr>
      <w:tr w:rsidR="007B2E79" w14:paraId="37B58F21" w14:textId="77777777">
        <w:tblPrEx>
          <w:shd w:val="clear" w:color="auto" w:fill="FFE3A3"/>
        </w:tblPrEx>
        <w:tc>
          <w:tcPr>
            <w:tcW w:w="0" w:type="auto"/>
            <w:gridSpan w:val="5"/>
            <w:tcBorders>
              <w:left w:val="single" w:sz="6" w:space="0" w:color="FFB000"/>
              <w:bottom w:val="single" w:sz="6" w:space="0" w:color="FFB000"/>
            </w:tcBorders>
            <w:shd w:val="clear" w:color="auto" w:fill="FFE3A3"/>
            <w:tcMar>
              <w:top w:w="60" w:type="dxa"/>
              <w:left w:w="140" w:type="dxa"/>
              <w:bottom w:w="60" w:type="dxa"/>
              <w:right w:w="140" w:type="dxa"/>
            </w:tcMar>
            <w:hideMark/>
          </w:tcPr>
          <w:p w14:paraId="592CC2DB" w14:textId="77777777" w:rsidR="007B2E79" w:rsidRDefault="007B2E79">
            <w:pPr>
              <w:spacing w:after="160"/>
              <w:rPr>
                <w:sz w:val="16"/>
                <w:szCs w:val="16"/>
              </w:rPr>
            </w:pPr>
            <w:r>
              <w:rPr>
                <w:sz w:val="16"/>
                <w:szCs w:val="16"/>
              </w:rPr>
              <w:t>Investigations during admission</w:t>
            </w:r>
          </w:p>
          <w:p w14:paraId="253C2E77" w14:textId="77777777" w:rsidR="007B2E79" w:rsidRDefault="007B2E79">
            <w:pPr>
              <w:rPr>
                <w:sz w:val="16"/>
                <w:szCs w:val="16"/>
              </w:rPr>
            </w:pPr>
            <w:r>
              <w:rPr>
                <w:sz w:val="16"/>
                <w:szCs w:val="16"/>
              </w:rPr>
              <w:t>Planned investigations</w:t>
            </w:r>
          </w:p>
        </w:tc>
        <w:tc>
          <w:tcPr>
            <w:tcW w:w="0" w:type="auto"/>
            <w:gridSpan w:val="5"/>
            <w:tcBorders>
              <w:bottom w:val="single" w:sz="6" w:space="0" w:color="FFB000"/>
              <w:right w:val="single" w:sz="6" w:space="0" w:color="FFB000"/>
            </w:tcBorders>
            <w:shd w:val="clear" w:color="auto" w:fill="FFE3A3"/>
            <w:tcMar>
              <w:top w:w="60" w:type="dxa"/>
              <w:left w:w="140" w:type="dxa"/>
              <w:bottom w:w="60" w:type="dxa"/>
              <w:right w:w="140" w:type="dxa"/>
            </w:tcMar>
            <w:hideMark/>
          </w:tcPr>
          <w:p w14:paraId="10CF5C15" w14:textId="77777777" w:rsidR="007B2E79" w:rsidRDefault="007B2E79">
            <w:pPr>
              <w:shd w:val="clear" w:color="auto" w:fill="FFF7D6"/>
              <w:rPr>
                <w:sz w:val="14"/>
                <w:szCs w:val="14"/>
              </w:rPr>
            </w:pPr>
            <w:r>
              <w:rPr>
                <w:sz w:val="14"/>
                <w:szCs w:val="14"/>
              </w:rPr>
              <w:t>Please note salient results underpinning clinical narrative and follow up, e.g. serum potassium levels, renal function</w:t>
            </w:r>
          </w:p>
          <w:p w14:paraId="7E0C44BA" w14:textId="77777777" w:rsidR="007B2E79" w:rsidRDefault="007B2E79">
            <w:pPr>
              <w:shd w:val="clear" w:color="auto" w:fill="FFF7D6"/>
              <w:rPr>
                <w:sz w:val="14"/>
                <w:szCs w:val="14"/>
              </w:rPr>
            </w:pPr>
            <w:r>
              <w:rPr>
                <w:sz w:val="14"/>
                <w:szCs w:val="14"/>
              </w:rPr>
              <w:t xml:space="preserve">Please note timelines and booking status (if requested by secondary care, secondary care </w:t>
            </w:r>
            <w:proofErr w:type="gramStart"/>
            <w:r>
              <w:rPr>
                <w:sz w:val="14"/>
                <w:szCs w:val="14"/>
              </w:rPr>
              <w:t>are</w:t>
            </w:r>
            <w:proofErr w:type="gramEnd"/>
            <w:r>
              <w:rPr>
                <w:sz w:val="14"/>
                <w:szCs w:val="14"/>
              </w:rPr>
              <w:t xml:space="preserve"> responsible for obtaining results)</w:t>
            </w:r>
          </w:p>
        </w:tc>
      </w:tr>
      <w:tr w:rsidR="007B2E79" w14:paraId="7D21D41C" w14:textId="77777777" w:rsidTr="007B2E7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rPr>
          <w:gridAfter w:val="9"/>
          <w:wAfter w:w="9499" w:type="dxa"/>
          <w:trHeight w:val="100"/>
        </w:trPr>
        <w:tc>
          <w:tcPr>
            <w:tcW w:w="0" w:type="auto"/>
            <w:tcBorders>
              <w:top w:val="nil"/>
              <w:left w:val="nil"/>
              <w:bottom w:val="nil"/>
              <w:right w:val="nil"/>
            </w:tcBorders>
            <w:shd w:val="clear" w:color="auto" w:fill="FFFFFF"/>
            <w:tcMar>
              <w:top w:w="0" w:type="dxa"/>
              <w:left w:w="0" w:type="dxa"/>
              <w:bottom w:w="0" w:type="dxa"/>
              <w:right w:w="0" w:type="dxa"/>
            </w:tcMar>
            <w:vAlign w:val="center"/>
            <w:hideMark/>
          </w:tcPr>
          <w:p w14:paraId="795997CF" w14:textId="77777777" w:rsidR="007B2E79" w:rsidRDefault="007B2E79">
            <w:pPr>
              <w:rPr>
                <w:sz w:val="2"/>
                <w:szCs w:val="2"/>
                <w:lang w:eastAsia="en-GB"/>
              </w:rPr>
            </w:pPr>
          </w:p>
        </w:tc>
      </w:tr>
      <w:tr w:rsidR="007B2E79" w14:paraId="4D5BFBB9" w14:textId="77777777">
        <w:tblPrEx>
          <w:shd w:val="clear" w:color="auto" w:fill="FFD36A"/>
        </w:tblPrEx>
        <w:tc>
          <w:tcPr>
            <w:tcW w:w="0" w:type="auto"/>
            <w:gridSpan w:val="10"/>
            <w:tcBorders>
              <w:top w:val="single" w:sz="6" w:space="0" w:color="FFB000"/>
              <w:left w:val="single" w:sz="6" w:space="0" w:color="FFB000"/>
              <w:bottom w:val="single" w:sz="6" w:space="0" w:color="FFB000"/>
              <w:right w:val="single" w:sz="6" w:space="0" w:color="FFB000"/>
            </w:tcBorders>
            <w:shd w:val="clear" w:color="auto" w:fill="FFD36A"/>
            <w:tcMar>
              <w:top w:w="60" w:type="dxa"/>
              <w:left w:w="140" w:type="dxa"/>
              <w:bottom w:w="60" w:type="dxa"/>
              <w:right w:w="140" w:type="dxa"/>
            </w:tcMar>
            <w:hideMark/>
          </w:tcPr>
          <w:p w14:paraId="6484952E" w14:textId="77777777" w:rsidR="007B2E79" w:rsidRDefault="007B2E79">
            <w:pPr>
              <w:spacing w:after="40"/>
              <w:rPr>
                <w:sz w:val="20"/>
                <w:szCs w:val="20"/>
                <w:lang w:eastAsia="en-GB"/>
              </w:rPr>
            </w:pPr>
            <w:r>
              <w:rPr>
                <w:b/>
                <w:bCs/>
                <w:sz w:val="20"/>
                <w:szCs w:val="20"/>
              </w:rPr>
              <w:t>Medications on discharge</w:t>
            </w:r>
          </w:p>
        </w:tc>
      </w:tr>
      <w:tr w:rsidR="007B2E79" w14:paraId="2629A73E" w14:textId="77777777">
        <w:tblPrEx>
          <w:shd w:val="clear" w:color="auto" w:fill="FFD36A"/>
        </w:tblPrEx>
        <w:tc>
          <w:tcPr>
            <w:tcW w:w="0" w:type="auto"/>
            <w:tcBorders>
              <w:left w:val="single" w:sz="6" w:space="0" w:color="FFB000"/>
              <w:bottom w:val="single" w:sz="6" w:space="0" w:color="FFB000"/>
            </w:tcBorders>
            <w:shd w:val="clear" w:color="auto" w:fill="FFD36A"/>
            <w:tcMar>
              <w:top w:w="40" w:type="dxa"/>
              <w:left w:w="40" w:type="dxa"/>
              <w:bottom w:w="40" w:type="dxa"/>
              <w:right w:w="40" w:type="dxa"/>
            </w:tcMar>
            <w:hideMark/>
          </w:tcPr>
          <w:p w14:paraId="5CD4C544" w14:textId="77777777" w:rsidR="007B2E79" w:rsidRDefault="007B2E79">
            <w:pPr>
              <w:rPr>
                <w:sz w:val="14"/>
                <w:szCs w:val="14"/>
              </w:rPr>
            </w:pPr>
            <w:r>
              <w:rPr>
                <w:sz w:val="14"/>
                <w:szCs w:val="14"/>
              </w:rPr>
              <w:t>Medication (state if started during admission)</w:t>
            </w:r>
          </w:p>
        </w:tc>
        <w:tc>
          <w:tcPr>
            <w:tcW w:w="0" w:type="auto"/>
            <w:tcBorders>
              <w:bottom w:val="single" w:sz="6" w:space="0" w:color="FFB000"/>
            </w:tcBorders>
            <w:shd w:val="clear" w:color="auto" w:fill="FFD36A"/>
            <w:tcMar>
              <w:top w:w="40" w:type="dxa"/>
              <w:left w:w="40" w:type="dxa"/>
              <w:bottom w:w="40" w:type="dxa"/>
              <w:right w:w="40" w:type="dxa"/>
            </w:tcMar>
            <w:hideMark/>
          </w:tcPr>
          <w:p w14:paraId="69A0B278" w14:textId="77777777" w:rsidR="007B2E79" w:rsidRDefault="007B2E79">
            <w:pPr>
              <w:rPr>
                <w:sz w:val="14"/>
                <w:szCs w:val="14"/>
              </w:rPr>
            </w:pPr>
            <w:r>
              <w:rPr>
                <w:sz w:val="14"/>
                <w:szCs w:val="14"/>
              </w:rPr>
              <w:t>Indication</w:t>
            </w:r>
          </w:p>
        </w:tc>
        <w:tc>
          <w:tcPr>
            <w:tcW w:w="0" w:type="auto"/>
            <w:gridSpan w:val="2"/>
            <w:tcBorders>
              <w:bottom w:val="single" w:sz="6" w:space="0" w:color="FFB000"/>
            </w:tcBorders>
            <w:shd w:val="clear" w:color="auto" w:fill="FFD36A"/>
            <w:tcMar>
              <w:top w:w="40" w:type="dxa"/>
              <w:left w:w="40" w:type="dxa"/>
              <w:bottom w:w="40" w:type="dxa"/>
              <w:right w:w="40" w:type="dxa"/>
            </w:tcMar>
            <w:hideMark/>
          </w:tcPr>
          <w:p w14:paraId="54EB8D98" w14:textId="77777777" w:rsidR="007B2E79" w:rsidRDefault="007B2E79">
            <w:pPr>
              <w:rPr>
                <w:sz w:val="14"/>
                <w:szCs w:val="14"/>
              </w:rPr>
            </w:pPr>
            <w:r>
              <w:rPr>
                <w:sz w:val="14"/>
                <w:szCs w:val="14"/>
              </w:rPr>
              <w:t>Dose</w:t>
            </w:r>
          </w:p>
        </w:tc>
        <w:tc>
          <w:tcPr>
            <w:tcW w:w="0" w:type="auto"/>
            <w:gridSpan w:val="2"/>
            <w:tcBorders>
              <w:bottom w:val="single" w:sz="6" w:space="0" w:color="FFB000"/>
            </w:tcBorders>
            <w:shd w:val="clear" w:color="auto" w:fill="FFD36A"/>
            <w:tcMar>
              <w:top w:w="40" w:type="dxa"/>
              <w:left w:w="40" w:type="dxa"/>
              <w:bottom w:w="40" w:type="dxa"/>
              <w:right w:w="40" w:type="dxa"/>
            </w:tcMar>
            <w:hideMark/>
          </w:tcPr>
          <w:p w14:paraId="6BA3DE8D" w14:textId="77777777" w:rsidR="007B2E79" w:rsidRDefault="007B2E79">
            <w:pPr>
              <w:rPr>
                <w:sz w:val="14"/>
                <w:szCs w:val="14"/>
              </w:rPr>
            </w:pPr>
            <w:r>
              <w:rPr>
                <w:sz w:val="14"/>
                <w:szCs w:val="14"/>
              </w:rPr>
              <w:t>Planned dose titrations</w:t>
            </w:r>
          </w:p>
        </w:tc>
        <w:tc>
          <w:tcPr>
            <w:tcW w:w="0" w:type="auto"/>
            <w:gridSpan w:val="4"/>
            <w:tcBorders>
              <w:bottom w:val="single" w:sz="6" w:space="0" w:color="FFB000"/>
              <w:right w:val="single" w:sz="6" w:space="0" w:color="FFB000"/>
            </w:tcBorders>
            <w:shd w:val="clear" w:color="auto" w:fill="FFD36A"/>
            <w:tcMar>
              <w:top w:w="40" w:type="dxa"/>
              <w:left w:w="40" w:type="dxa"/>
              <w:bottom w:w="40" w:type="dxa"/>
              <w:right w:w="40" w:type="dxa"/>
            </w:tcMar>
            <w:hideMark/>
          </w:tcPr>
          <w:p w14:paraId="089DBB5D" w14:textId="77777777" w:rsidR="007B2E79" w:rsidRDefault="007B2E79">
            <w:pPr>
              <w:rPr>
                <w:sz w:val="14"/>
                <w:szCs w:val="14"/>
              </w:rPr>
            </w:pPr>
            <w:r>
              <w:rPr>
                <w:sz w:val="14"/>
                <w:szCs w:val="14"/>
              </w:rPr>
              <w:t>Intended duration of treatment / Prescribing responsibility</w:t>
            </w:r>
          </w:p>
        </w:tc>
      </w:tr>
      <w:tr w:rsidR="007B2E79" w14:paraId="2C39EC30" w14:textId="77777777">
        <w:tblPrEx>
          <w:shd w:val="clear" w:color="auto" w:fill="FFD36A"/>
        </w:tblPrEx>
        <w:tc>
          <w:tcPr>
            <w:tcW w:w="0" w:type="auto"/>
            <w:tcBorders>
              <w:left w:val="single" w:sz="6" w:space="0" w:color="FFB000"/>
              <w:bottom w:val="single" w:sz="6" w:space="0" w:color="FFB000"/>
            </w:tcBorders>
            <w:shd w:val="clear" w:color="auto" w:fill="FFD36A"/>
            <w:tcMar>
              <w:top w:w="60" w:type="dxa"/>
              <w:left w:w="60" w:type="dxa"/>
              <w:bottom w:w="60" w:type="dxa"/>
              <w:right w:w="60" w:type="dxa"/>
            </w:tcMar>
            <w:hideMark/>
          </w:tcPr>
          <w:p w14:paraId="2701C1CD" w14:textId="77777777" w:rsidR="007B2E79" w:rsidRDefault="007B2E79">
            <w:pPr>
              <w:rPr>
                <w:sz w:val="16"/>
                <w:szCs w:val="16"/>
              </w:rPr>
            </w:pPr>
            <w:r>
              <w:rPr>
                <w:sz w:val="16"/>
                <w:szCs w:val="16"/>
              </w:rPr>
              <w:t>____________</w:t>
            </w:r>
          </w:p>
        </w:tc>
        <w:tc>
          <w:tcPr>
            <w:tcW w:w="0" w:type="auto"/>
            <w:tcBorders>
              <w:bottom w:val="single" w:sz="6" w:space="0" w:color="FFB000"/>
            </w:tcBorders>
            <w:shd w:val="clear" w:color="auto" w:fill="FFD36A"/>
            <w:tcMar>
              <w:top w:w="60" w:type="dxa"/>
              <w:left w:w="60" w:type="dxa"/>
              <w:bottom w:w="60" w:type="dxa"/>
              <w:right w:w="60" w:type="dxa"/>
            </w:tcMar>
            <w:hideMark/>
          </w:tcPr>
          <w:p w14:paraId="0974ABDE" w14:textId="77777777" w:rsidR="007B2E79" w:rsidRDefault="007B2E79">
            <w:pPr>
              <w:rPr>
                <w:sz w:val="16"/>
                <w:szCs w:val="16"/>
              </w:rPr>
            </w:pPr>
            <w:r>
              <w:rPr>
                <w:sz w:val="16"/>
                <w:szCs w:val="16"/>
              </w:rPr>
              <w:t>________</w:t>
            </w:r>
          </w:p>
        </w:tc>
        <w:tc>
          <w:tcPr>
            <w:tcW w:w="0" w:type="auto"/>
            <w:gridSpan w:val="2"/>
            <w:tcBorders>
              <w:bottom w:val="single" w:sz="6" w:space="0" w:color="FFB000"/>
            </w:tcBorders>
            <w:shd w:val="clear" w:color="auto" w:fill="FFD36A"/>
            <w:tcMar>
              <w:top w:w="60" w:type="dxa"/>
              <w:left w:w="60" w:type="dxa"/>
              <w:bottom w:w="60" w:type="dxa"/>
              <w:right w:w="60" w:type="dxa"/>
            </w:tcMar>
            <w:hideMark/>
          </w:tcPr>
          <w:p w14:paraId="5BF227AF" w14:textId="77777777" w:rsidR="007B2E79" w:rsidRDefault="007B2E79">
            <w:pPr>
              <w:rPr>
                <w:sz w:val="16"/>
                <w:szCs w:val="16"/>
              </w:rPr>
            </w:pPr>
            <w:r>
              <w:rPr>
                <w:sz w:val="16"/>
                <w:szCs w:val="16"/>
              </w:rPr>
              <w:t>________</w:t>
            </w:r>
          </w:p>
        </w:tc>
        <w:tc>
          <w:tcPr>
            <w:tcW w:w="0" w:type="auto"/>
            <w:gridSpan w:val="2"/>
            <w:tcBorders>
              <w:bottom w:val="single" w:sz="6" w:space="0" w:color="FFB000"/>
            </w:tcBorders>
            <w:shd w:val="clear" w:color="auto" w:fill="FFD36A"/>
            <w:tcMar>
              <w:top w:w="60" w:type="dxa"/>
              <w:left w:w="60" w:type="dxa"/>
              <w:bottom w:w="60" w:type="dxa"/>
              <w:right w:w="60" w:type="dxa"/>
            </w:tcMar>
            <w:hideMark/>
          </w:tcPr>
          <w:p w14:paraId="73E93BB7" w14:textId="77777777" w:rsidR="007B2E79" w:rsidRDefault="007B2E79">
            <w:pPr>
              <w:rPr>
                <w:sz w:val="16"/>
                <w:szCs w:val="16"/>
              </w:rPr>
            </w:pPr>
            <w:r>
              <w:rPr>
                <w:sz w:val="16"/>
                <w:szCs w:val="16"/>
              </w:rPr>
              <w:t>________</w:t>
            </w:r>
          </w:p>
        </w:tc>
        <w:tc>
          <w:tcPr>
            <w:tcW w:w="0" w:type="auto"/>
            <w:gridSpan w:val="4"/>
            <w:tcBorders>
              <w:bottom w:val="single" w:sz="6" w:space="0" w:color="FFB000"/>
              <w:right w:val="single" w:sz="6" w:space="0" w:color="FFB000"/>
            </w:tcBorders>
            <w:shd w:val="clear" w:color="auto" w:fill="FFD36A"/>
            <w:tcMar>
              <w:top w:w="60" w:type="dxa"/>
              <w:left w:w="60" w:type="dxa"/>
              <w:bottom w:w="60" w:type="dxa"/>
              <w:right w:w="60" w:type="dxa"/>
            </w:tcMar>
            <w:hideMark/>
          </w:tcPr>
          <w:p w14:paraId="55A4BED6" w14:textId="77777777" w:rsidR="007B2E79" w:rsidRDefault="007B2E79">
            <w:pPr>
              <w:rPr>
                <w:sz w:val="16"/>
                <w:szCs w:val="16"/>
              </w:rPr>
            </w:pPr>
            <w:r>
              <w:rPr>
                <w:sz w:val="16"/>
                <w:szCs w:val="16"/>
              </w:rPr>
              <w:t>____________</w:t>
            </w:r>
          </w:p>
        </w:tc>
      </w:tr>
      <w:tr w:rsidR="007B2E79" w14:paraId="2463CCEA" w14:textId="77777777">
        <w:tblPrEx>
          <w:shd w:val="clear" w:color="auto" w:fill="FFD36A"/>
        </w:tblPrEx>
        <w:tc>
          <w:tcPr>
            <w:tcW w:w="0" w:type="auto"/>
            <w:gridSpan w:val="10"/>
            <w:tcBorders>
              <w:left w:val="single" w:sz="6" w:space="0" w:color="FFB000"/>
              <w:right w:val="single" w:sz="6" w:space="0" w:color="FFB000"/>
            </w:tcBorders>
            <w:shd w:val="clear" w:color="auto" w:fill="FFD36A"/>
            <w:tcMar>
              <w:top w:w="40" w:type="dxa"/>
              <w:left w:w="140" w:type="dxa"/>
              <w:bottom w:w="40" w:type="dxa"/>
              <w:right w:w="140" w:type="dxa"/>
            </w:tcMar>
            <w:hideMark/>
          </w:tcPr>
          <w:p w14:paraId="4526BC1D" w14:textId="77777777" w:rsidR="007B2E79" w:rsidRDefault="007B2E79">
            <w:pPr>
              <w:spacing w:after="40"/>
              <w:rPr>
                <w:sz w:val="14"/>
                <w:szCs w:val="14"/>
              </w:rPr>
            </w:pPr>
            <w:r>
              <w:rPr>
                <w:b/>
                <w:bCs/>
                <w:sz w:val="14"/>
                <w:szCs w:val="14"/>
              </w:rPr>
              <w:t xml:space="preserve">N.B. If starting a medication that primary care </w:t>
            </w:r>
            <w:proofErr w:type="gramStart"/>
            <w:r>
              <w:rPr>
                <w:b/>
                <w:bCs/>
                <w:sz w:val="14"/>
                <w:szCs w:val="14"/>
              </w:rPr>
              <w:t>are</w:t>
            </w:r>
            <w:proofErr w:type="gramEnd"/>
            <w:r>
              <w:rPr>
                <w:b/>
                <w:bCs/>
                <w:sz w:val="14"/>
                <w:szCs w:val="14"/>
              </w:rPr>
              <w:t xml:space="preserve"> unlikely to be familiar with, consider link to further information, e.g. summary of product characteristics</w:t>
            </w:r>
          </w:p>
          <w:p w14:paraId="7A0B73BB" w14:textId="77777777" w:rsidR="007B2E79" w:rsidRDefault="007B2E79">
            <w:pPr>
              <w:spacing w:after="20"/>
              <w:rPr>
                <w:sz w:val="18"/>
                <w:szCs w:val="18"/>
              </w:rPr>
            </w:pPr>
            <w:r>
              <w:rPr>
                <w:b/>
                <w:bCs/>
                <w:sz w:val="18"/>
                <w:szCs w:val="18"/>
              </w:rPr>
              <w:t>Medications stopped or titrated during admission</w:t>
            </w:r>
          </w:p>
        </w:tc>
      </w:tr>
      <w:tr w:rsidR="007B2E79" w14:paraId="6755572A" w14:textId="77777777">
        <w:tblPrEx>
          <w:shd w:val="clear" w:color="auto" w:fill="FFD36A"/>
        </w:tblPrEx>
        <w:tc>
          <w:tcPr>
            <w:tcW w:w="0" w:type="auto"/>
            <w:gridSpan w:val="2"/>
            <w:tcBorders>
              <w:left w:val="single" w:sz="6" w:space="0" w:color="FFB000"/>
              <w:bottom w:val="single" w:sz="6" w:space="0" w:color="FFB000"/>
            </w:tcBorders>
            <w:shd w:val="clear" w:color="auto" w:fill="FFD36A"/>
            <w:tcMar>
              <w:top w:w="40" w:type="dxa"/>
              <w:left w:w="140" w:type="dxa"/>
              <w:bottom w:w="40" w:type="dxa"/>
              <w:right w:w="140" w:type="dxa"/>
            </w:tcMar>
            <w:hideMark/>
          </w:tcPr>
          <w:p w14:paraId="23B8E9C7" w14:textId="77777777" w:rsidR="007B2E79" w:rsidRDefault="007B2E79">
            <w:pPr>
              <w:rPr>
                <w:sz w:val="14"/>
                <w:szCs w:val="14"/>
              </w:rPr>
            </w:pPr>
            <w:r>
              <w:rPr>
                <w:sz w:val="14"/>
                <w:szCs w:val="14"/>
              </w:rPr>
              <w:t>Medication</w:t>
            </w:r>
          </w:p>
        </w:tc>
        <w:tc>
          <w:tcPr>
            <w:tcW w:w="0" w:type="auto"/>
            <w:gridSpan w:val="4"/>
            <w:tcBorders>
              <w:bottom w:val="single" w:sz="6" w:space="0" w:color="FFB000"/>
            </w:tcBorders>
            <w:shd w:val="clear" w:color="auto" w:fill="FFD36A"/>
            <w:tcMar>
              <w:top w:w="40" w:type="dxa"/>
              <w:left w:w="140" w:type="dxa"/>
              <w:bottom w:w="40" w:type="dxa"/>
              <w:right w:w="140" w:type="dxa"/>
            </w:tcMar>
            <w:hideMark/>
          </w:tcPr>
          <w:p w14:paraId="07ED36B0" w14:textId="77777777" w:rsidR="007B2E79" w:rsidRDefault="007B2E79">
            <w:pPr>
              <w:rPr>
                <w:sz w:val="14"/>
                <w:szCs w:val="14"/>
              </w:rPr>
            </w:pPr>
            <w:r>
              <w:rPr>
                <w:sz w:val="14"/>
                <w:szCs w:val="14"/>
              </w:rPr>
              <w:t>Reason for stopping/titrating</w:t>
            </w:r>
          </w:p>
        </w:tc>
        <w:tc>
          <w:tcPr>
            <w:tcW w:w="0" w:type="auto"/>
            <w:gridSpan w:val="4"/>
            <w:tcBorders>
              <w:bottom w:val="single" w:sz="6" w:space="0" w:color="FFB000"/>
              <w:right w:val="single" w:sz="6" w:space="0" w:color="FFB000"/>
            </w:tcBorders>
            <w:shd w:val="clear" w:color="auto" w:fill="FFD36A"/>
            <w:tcMar>
              <w:top w:w="40" w:type="dxa"/>
              <w:left w:w="140" w:type="dxa"/>
              <w:bottom w:w="40" w:type="dxa"/>
              <w:right w:w="140" w:type="dxa"/>
            </w:tcMar>
            <w:hideMark/>
          </w:tcPr>
          <w:p w14:paraId="3257A4AD" w14:textId="77777777" w:rsidR="007B2E79" w:rsidRDefault="007B2E79">
            <w:pPr>
              <w:rPr>
                <w:sz w:val="14"/>
                <w:szCs w:val="14"/>
              </w:rPr>
            </w:pPr>
            <w:r>
              <w:rPr>
                <w:sz w:val="14"/>
                <w:szCs w:val="14"/>
              </w:rPr>
              <w:t>Any further action required</w:t>
            </w:r>
          </w:p>
        </w:tc>
      </w:tr>
      <w:tr w:rsidR="007B2E79" w14:paraId="4AF89E0B" w14:textId="77777777">
        <w:tblPrEx>
          <w:shd w:val="clear" w:color="auto" w:fill="FFD36A"/>
        </w:tblPrEx>
        <w:tc>
          <w:tcPr>
            <w:tcW w:w="0" w:type="auto"/>
            <w:gridSpan w:val="2"/>
            <w:tcBorders>
              <w:left w:val="single" w:sz="6" w:space="0" w:color="FFB000"/>
              <w:bottom w:val="single" w:sz="6" w:space="0" w:color="FFB000"/>
            </w:tcBorders>
            <w:shd w:val="clear" w:color="auto" w:fill="FFD36A"/>
            <w:tcMar>
              <w:top w:w="60" w:type="dxa"/>
              <w:left w:w="60" w:type="dxa"/>
              <w:bottom w:w="60" w:type="dxa"/>
              <w:right w:w="60" w:type="dxa"/>
            </w:tcMar>
            <w:hideMark/>
          </w:tcPr>
          <w:p w14:paraId="4FFDC9B0" w14:textId="77777777" w:rsidR="007B2E79" w:rsidRDefault="007B2E79">
            <w:pPr>
              <w:rPr>
                <w:sz w:val="16"/>
                <w:szCs w:val="16"/>
              </w:rPr>
            </w:pPr>
            <w:r>
              <w:rPr>
                <w:sz w:val="16"/>
                <w:szCs w:val="16"/>
              </w:rPr>
              <w:t>________________</w:t>
            </w:r>
          </w:p>
        </w:tc>
        <w:tc>
          <w:tcPr>
            <w:tcW w:w="0" w:type="auto"/>
            <w:gridSpan w:val="4"/>
            <w:tcBorders>
              <w:bottom w:val="single" w:sz="6" w:space="0" w:color="FFB000"/>
            </w:tcBorders>
            <w:shd w:val="clear" w:color="auto" w:fill="FFD36A"/>
            <w:tcMar>
              <w:top w:w="60" w:type="dxa"/>
              <w:left w:w="60" w:type="dxa"/>
              <w:bottom w:w="60" w:type="dxa"/>
              <w:right w:w="60" w:type="dxa"/>
            </w:tcMar>
            <w:hideMark/>
          </w:tcPr>
          <w:p w14:paraId="562F4033" w14:textId="77777777" w:rsidR="007B2E79" w:rsidRDefault="007B2E79">
            <w:pPr>
              <w:rPr>
                <w:sz w:val="16"/>
                <w:szCs w:val="16"/>
              </w:rPr>
            </w:pPr>
            <w:r>
              <w:rPr>
                <w:sz w:val="16"/>
                <w:szCs w:val="16"/>
              </w:rPr>
              <w:t>________________</w:t>
            </w:r>
          </w:p>
        </w:tc>
        <w:tc>
          <w:tcPr>
            <w:tcW w:w="0" w:type="auto"/>
            <w:gridSpan w:val="4"/>
            <w:tcBorders>
              <w:bottom w:val="single" w:sz="6" w:space="0" w:color="FFB000"/>
              <w:right w:val="single" w:sz="6" w:space="0" w:color="FFB000"/>
            </w:tcBorders>
            <w:shd w:val="clear" w:color="auto" w:fill="FFD36A"/>
            <w:tcMar>
              <w:top w:w="60" w:type="dxa"/>
              <w:left w:w="60" w:type="dxa"/>
              <w:bottom w:w="60" w:type="dxa"/>
              <w:right w:w="60" w:type="dxa"/>
            </w:tcMar>
            <w:hideMark/>
          </w:tcPr>
          <w:p w14:paraId="6DBEC781" w14:textId="77777777" w:rsidR="007B2E79" w:rsidRDefault="007B2E79">
            <w:pPr>
              <w:rPr>
                <w:sz w:val="16"/>
                <w:szCs w:val="16"/>
              </w:rPr>
            </w:pPr>
            <w:r>
              <w:rPr>
                <w:sz w:val="16"/>
                <w:szCs w:val="16"/>
              </w:rPr>
              <w:t>____________</w:t>
            </w:r>
          </w:p>
        </w:tc>
      </w:tr>
      <w:tr w:rsidR="007B2E79" w14:paraId="141FEB7D" w14:textId="77777777" w:rsidTr="007B2E7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rPr>
          <w:gridAfter w:val="9"/>
          <w:wAfter w:w="9499" w:type="dxa"/>
          <w:trHeight w:val="100"/>
        </w:trPr>
        <w:tc>
          <w:tcPr>
            <w:tcW w:w="0" w:type="auto"/>
            <w:tcBorders>
              <w:top w:val="nil"/>
              <w:left w:val="nil"/>
              <w:bottom w:val="nil"/>
              <w:right w:val="nil"/>
            </w:tcBorders>
            <w:shd w:val="clear" w:color="auto" w:fill="FFFFFF"/>
            <w:tcMar>
              <w:top w:w="0" w:type="dxa"/>
              <w:left w:w="0" w:type="dxa"/>
              <w:bottom w:w="0" w:type="dxa"/>
              <w:right w:w="0" w:type="dxa"/>
            </w:tcMar>
            <w:vAlign w:val="center"/>
            <w:hideMark/>
          </w:tcPr>
          <w:p w14:paraId="594DAE2D" w14:textId="77777777" w:rsidR="007B2E79" w:rsidRDefault="007B2E79">
            <w:pPr>
              <w:rPr>
                <w:sz w:val="2"/>
                <w:szCs w:val="2"/>
                <w:lang w:eastAsia="en-GB"/>
              </w:rPr>
            </w:pPr>
          </w:p>
        </w:tc>
      </w:tr>
      <w:tr w:rsidR="007B2E79" w14:paraId="19F7ABC8" w14:textId="77777777">
        <w:tblPrEx>
          <w:shd w:val="clear" w:color="auto" w:fill="FFE3A3"/>
        </w:tblPrEx>
        <w:tc>
          <w:tcPr>
            <w:tcW w:w="0" w:type="auto"/>
            <w:gridSpan w:val="10"/>
            <w:tcBorders>
              <w:top w:val="single" w:sz="6" w:space="0" w:color="FFB000"/>
              <w:left w:val="single" w:sz="6" w:space="0" w:color="FFB000"/>
              <w:bottom w:val="single" w:sz="6" w:space="0" w:color="FFB000"/>
              <w:right w:val="single" w:sz="6" w:space="0" w:color="FFB000"/>
            </w:tcBorders>
            <w:shd w:val="clear" w:color="auto" w:fill="FFE3A3"/>
            <w:tcMar>
              <w:top w:w="60" w:type="dxa"/>
              <w:left w:w="140" w:type="dxa"/>
              <w:bottom w:w="60" w:type="dxa"/>
              <w:right w:w="140" w:type="dxa"/>
            </w:tcMar>
            <w:hideMark/>
          </w:tcPr>
          <w:p w14:paraId="3851174D" w14:textId="77777777" w:rsidR="007B2E79" w:rsidRDefault="007B2E79">
            <w:pPr>
              <w:spacing w:after="40"/>
              <w:rPr>
                <w:sz w:val="20"/>
                <w:szCs w:val="20"/>
                <w:lang w:eastAsia="en-GB"/>
              </w:rPr>
            </w:pPr>
            <w:r>
              <w:rPr>
                <w:b/>
                <w:bCs/>
                <w:sz w:val="20"/>
                <w:szCs w:val="20"/>
              </w:rPr>
              <w:t>Follow up (include timeframes)</w:t>
            </w:r>
          </w:p>
        </w:tc>
      </w:tr>
      <w:tr w:rsidR="007B2E79" w14:paraId="3EFF44CB" w14:textId="77777777">
        <w:tblPrEx>
          <w:shd w:val="clear" w:color="auto" w:fill="FFE3A3"/>
        </w:tblPrEx>
        <w:tc>
          <w:tcPr>
            <w:tcW w:w="2200" w:type="pct"/>
            <w:gridSpan w:val="3"/>
            <w:tcBorders>
              <w:left w:val="single" w:sz="6" w:space="0" w:color="FFB000"/>
              <w:bottom w:val="single" w:sz="6" w:space="0" w:color="FFB000"/>
            </w:tcBorders>
            <w:shd w:val="clear" w:color="auto" w:fill="FFE3A3"/>
            <w:tcMar>
              <w:top w:w="40" w:type="dxa"/>
              <w:left w:w="140" w:type="dxa"/>
              <w:bottom w:w="40" w:type="dxa"/>
              <w:right w:w="140" w:type="dxa"/>
            </w:tcMar>
            <w:hideMark/>
          </w:tcPr>
          <w:p w14:paraId="4D85E415" w14:textId="77777777" w:rsidR="007B2E79" w:rsidRDefault="007B2E79">
            <w:pPr>
              <w:spacing w:after="20"/>
              <w:rPr>
                <w:sz w:val="16"/>
                <w:szCs w:val="16"/>
              </w:rPr>
            </w:pPr>
            <w:r>
              <w:rPr>
                <w:b/>
                <w:bCs/>
                <w:sz w:val="16"/>
                <w:szCs w:val="16"/>
              </w:rPr>
              <w:t>Actions for secondary care, e.g.</w:t>
            </w:r>
          </w:p>
          <w:p w14:paraId="248BDDF6" w14:textId="77777777" w:rsidR="007B2E79" w:rsidRDefault="007B2E79">
            <w:pPr>
              <w:spacing w:after="20"/>
              <w:rPr>
                <w:sz w:val="16"/>
                <w:szCs w:val="16"/>
              </w:rPr>
            </w:pPr>
            <w:r>
              <w:rPr>
                <w:sz w:val="16"/>
                <w:szCs w:val="16"/>
              </w:rPr>
              <w:t xml:space="preserve">✓ Referrals (ensure secondary </w:t>
            </w:r>
            <w:proofErr w:type="gramStart"/>
            <w:r>
              <w:rPr>
                <w:sz w:val="16"/>
                <w:szCs w:val="16"/>
              </w:rPr>
              <w:t>care initiated</w:t>
            </w:r>
            <w:proofErr w:type="gramEnd"/>
            <w:r>
              <w:rPr>
                <w:sz w:val="16"/>
                <w:szCs w:val="16"/>
              </w:rPr>
              <w:t xml:space="preserve"> referrals are completed by secondary care)</w:t>
            </w:r>
          </w:p>
          <w:p w14:paraId="24CEE229" w14:textId="77777777" w:rsidR="007B2E79" w:rsidRDefault="007B2E79">
            <w:pPr>
              <w:spacing w:after="20"/>
              <w:rPr>
                <w:sz w:val="16"/>
                <w:szCs w:val="16"/>
              </w:rPr>
            </w:pPr>
            <w:r>
              <w:rPr>
                <w:sz w:val="16"/>
                <w:szCs w:val="16"/>
              </w:rPr>
              <w:t>✓ Clinic review</w:t>
            </w:r>
          </w:p>
          <w:p w14:paraId="2FC716C9" w14:textId="77777777" w:rsidR="007B2E79" w:rsidRDefault="007B2E79">
            <w:pPr>
              <w:spacing w:after="20"/>
              <w:rPr>
                <w:sz w:val="16"/>
                <w:szCs w:val="16"/>
              </w:rPr>
            </w:pPr>
            <w:r>
              <w:rPr>
                <w:sz w:val="16"/>
                <w:szCs w:val="16"/>
              </w:rPr>
              <w:t>✓ Medication review</w:t>
            </w:r>
          </w:p>
          <w:p w14:paraId="03C1F956" w14:textId="77777777" w:rsidR="007B2E79" w:rsidRDefault="007B2E79">
            <w:pPr>
              <w:rPr>
                <w:sz w:val="16"/>
                <w:szCs w:val="16"/>
              </w:rPr>
            </w:pPr>
            <w:r>
              <w:rPr>
                <w:sz w:val="16"/>
                <w:szCs w:val="16"/>
              </w:rPr>
              <w:t>✓ Blood monitoring</w:t>
            </w:r>
          </w:p>
        </w:tc>
        <w:tc>
          <w:tcPr>
            <w:tcW w:w="1400" w:type="pct"/>
            <w:gridSpan w:val="5"/>
            <w:tcBorders>
              <w:bottom w:val="single" w:sz="6" w:space="0" w:color="FFB000"/>
            </w:tcBorders>
            <w:shd w:val="clear" w:color="auto" w:fill="FFE3A3"/>
            <w:tcMar>
              <w:top w:w="40" w:type="dxa"/>
              <w:left w:w="140" w:type="dxa"/>
              <w:bottom w:w="40" w:type="dxa"/>
              <w:right w:w="140" w:type="dxa"/>
            </w:tcMar>
            <w:hideMark/>
          </w:tcPr>
          <w:p w14:paraId="43870353" w14:textId="77777777" w:rsidR="007B2E79" w:rsidRDefault="007B2E79">
            <w:pPr>
              <w:spacing w:after="20"/>
              <w:rPr>
                <w:sz w:val="16"/>
                <w:szCs w:val="16"/>
              </w:rPr>
            </w:pPr>
            <w:r>
              <w:rPr>
                <w:b/>
                <w:bCs/>
                <w:sz w:val="16"/>
                <w:szCs w:val="16"/>
              </w:rPr>
              <w:t>Actions for primary care, e.g.</w:t>
            </w:r>
          </w:p>
          <w:p w14:paraId="2D977200" w14:textId="77777777" w:rsidR="007B2E79" w:rsidRDefault="007B2E79">
            <w:pPr>
              <w:spacing w:after="20"/>
              <w:rPr>
                <w:sz w:val="16"/>
                <w:szCs w:val="16"/>
              </w:rPr>
            </w:pPr>
            <w:r>
              <w:rPr>
                <w:sz w:val="16"/>
                <w:szCs w:val="16"/>
              </w:rPr>
              <w:t>✓ Clinic review</w:t>
            </w:r>
          </w:p>
          <w:p w14:paraId="25FD4497" w14:textId="77777777" w:rsidR="007B2E79" w:rsidRDefault="007B2E79">
            <w:pPr>
              <w:spacing w:after="20"/>
              <w:rPr>
                <w:sz w:val="16"/>
                <w:szCs w:val="16"/>
              </w:rPr>
            </w:pPr>
            <w:r>
              <w:rPr>
                <w:sz w:val="16"/>
                <w:szCs w:val="16"/>
              </w:rPr>
              <w:t>✓ Medication review</w:t>
            </w:r>
          </w:p>
          <w:p w14:paraId="003D1F7D" w14:textId="77777777" w:rsidR="007B2E79" w:rsidRDefault="007B2E79">
            <w:pPr>
              <w:rPr>
                <w:sz w:val="16"/>
                <w:szCs w:val="16"/>
              </w:rPr>
            </w:pPr>
            <w:r>
              <w:rPr>
                <w:sz w:val="16"/>
                <w:szCs w:val="16"/>
              </w:rPr>
              <w:t>✓ Blood monitoring</w:t>
            </w:r>
          </w:p>
        </w:tc>
        <w:tc>
          <w:tcPr>
            <w:tcW w:w="1400" w:type="pct"/>
            <w:gridSpan w:val="2"/>
            <w:tcBorders>
              <w:bottom w:val="single" w:sz="6" w:space="0" w:color="FFB000"/>
              <w:right w:val="single" w:sz="6" w:space="0" w:color="FFB000"/>
            </w:tcBorders>
            <w:shd w:val="clear" w:color="auto" w:fill="FFE3A3"/>
            <w:tcMar>
              <w:top w:w="40" w:type="dxa"/>
              <w:left w:w="140" w:type="dxa"/>
              <w:bottom w:w="40" w:type="dxa"/>
              <w:right w:w="140" w:type="dxa"/>
            </w:tcMar>
            <w:hideMark/>
          </w:tcPr>
          <w:p w14:paraId="43EDAE97" w14:textId="77777777" w:rsidR="007B2E79" w:rsidRDefault="007B2E79">
            <w:pPr>
              <w:spacing w:after="20"/>
              <w:rPr>
                <w:sz w:val="16"/>
                <w:szCs w:val="16"/>
              </w:rPr>
            </w:pPr>
            <w:r>
              <w:rPr>
                <w:b/>
                <w:bCs/>
                <w:sz w:val="16"/>
                <w:szCs w:val="16"/>
              </w:rPr>
              <w:t>Actions for patient, e.g.</w:t>
            </w:r>
          </w:p>
          <w:p w14:paraId="104FA8D5" w14:textId="77777777" w:rsidR="007B2E79" w:rsidRDefault="007B2E79">
            <w:pPr>
              <w:spacing w:after="20"/>
              <w:rPr>
                <w:sz w:val="16"/>
                <w:szCs w:val="16"/>
              </w:rPr>
            </w:pPr>
            <w:r>
              <w:rPr>
                <w:sz w:val="16"/>
                <w:szCs w:val="16"/>
              </w:rPr>
              <w:t>✓ Attendance at appointments</w:t>
            </w:r>
          </w:p>
          <w:p w14:paraId="5B0CAA4D" w14:textId="77777777" w:rsidR="007B2E79" w:rsidRDefault="007B2E79">
            <w:pPr>
              <w:spacing w:after="20"/>
              <w:rPr>
                <w:sz w:val="16"/>
                <w:szCs w:val="16"/>
              </w:rPr>
            </w:pPr>
            <w:r>
              <w:rPr>
                <w:sz w:val="16"/>
                <w:szCs w:val="16"/>
              </w:rPr>
              <w:t>✓ Lifestyle/medication compliance</w:t>
            </w:r>
          </w:p>
          <w:p w14:paraId="0FEE2B49" w14:textId="77777777" w:rsidR="007B2E79" w:rsidRDefault="007B2E79">
            <w:pPr>
              <w:rPr>
                <w:sz w:val="16"/>
                <w:szCs w:val="16"/>
              </w:rPr>
            </w:pPr>
            <w:r>
              <w:rPr>
                <w:sz w:val="16"/>
                <w:szCs w:val="16"/>
              </w:rPr>
              <w:t>✓ Seek help if…</w:t>
            </w:r>
          </w:p>
        </w:tc>
      </w:tr>
      <w:tr w:rsidR="007B2E79" w14:paraId="0E915778" w14:textId="77777777">
        <w:tblPrEx>
          <w:shd w:val="clear" w:color="auto" w:fill="FFE3A3"/>
        </w:tblPrEx>
        <w:tc>
          <w:tcPr>
            <w:tcW w:w="0" w:type="auto"/>
            <w:gridSpan w:val="10"/>
            <w:tcBorders>
              <w:left w:val="single" w:sz="6" w:space="0" w:color="FFB000"/>
              <w:bottom w:val="single" w:sz="6" w:space="0" w:color="FFB000"/>
              <w:right w:val="single" w:sz="6" w:space="0" w:color="FFB000"/>
            </w:tcBorders>
            <w:shd w:val="clear" w:color="auto" w:fill="FFE3A3"/>
            <w:tcMar>
              <w:top w:w="40" w:type="dxa"/>
              <w:left w:w="140" w:type="dxa"/>
              <w:bottom w:w="40" w:type="dxa"/>
              <w:right w:w="140" w:type="dxa"/>
            </w:tcMar>
            <w:hideMark/>
          </w:tcPr>
          <w:p w14:paraId="61FEFF34" w14:textId="77777777" w:rsidR="007B2E79" w:rsidRDefault="007B2E79">
            <w:pPr>
              <w:rPr>
                <w:sz w:val="14"/>
                <w:szCs w:val="14"/>
              </w:rPr>
            </w:pPr>
            <w:r>
              <w:rPr>
                <w:b/>
                <w:bCs/>
                <w:sz w:val="14"/>
                <w:szCs w:val="14"/>
              </w:rPr>
              <w:t>N.B.</w:t>
            </w:r>
            <w:r>
              <w:rPr>
                <w:sz w:val="14"/>
                <w:szCs w:val="14"/>
              </w:rPr>
              <w:t xml:space="preserve"> Consider the role of primary care as the ongoing management of individuals once they are established on therapy; overseeing those on RAASi therapy and jointly managing those on potassium lowering therapies. The normalisation of potassium levels and the re-introduction and optimisation of RAASi therapy </w:t>
            </w:r>
            <w:proofErr w:type="gramStart"/>
            <w:r>
              <w:rPr>
                <w:sz w:val="14"/>
                <w:szCs w:val="14"/>
              </w:rPr>
              <w:t>sits</w:t>
            </w:r>
            <w:proofErr w:type="gramEnd"/>
            <w:r>
              <w:rPr>
                <w:sz w:val="14"/>
                <w:szCs w:val="14"/>
              </w:rPr>
              <w:t xml:space="preserve"> with secondary care – with transfer to primary care once patients are stable.</w:t>
            </w:r>
          </w:p>
        </w:tc>
      </w:tr>
    </w:tbl>
    <w:p w14:paraId="4BD48002" w14:textId="2F712B8B" w:rsidR="004210BF" w:rsidRDefault="007B2E79" w:rsidP="00141BEF">
      <w:pPr>
        <w:spacing w:after="0"/>
        <w:rPr>
          <w:b/>
          <w:bCs/>
          <w:sz w:val="22"/>
          <w:szCs w:val="22"/>
        </w:rPr>
      </w:pPr>
      <w:r w:rsidRPr="00F22636">
        <w:rPr>
          <w:b/>
          <w:bCs/>
          <w:sz w:val="18"/>
          <w:szCs w:val="18"/>
        </w:rPr>
        <w:t>*Renin Angiotensin Aldosterone System inhibitor therapy (ACE inhibitors, angiotensin II receptor blockers, angiotensin receptor/neprilysin inhibitor, mineralocorticoid receptor antagonists)</w:t>
      </w:r>
      <w:r w:rsidR="004210BF">
        <w:rPr>
          <w:rFonts w:ascii="Arial" w:hAnsi="Arial" w:cs="Arial"/>
          <w:sz w:val="2"/>
          <w:szCs w:val="2"/>
        </w:rPr>
        <w:br w:type="page"/>
      </w:r>
    </w:p>
    <w:p w14:paraId="5E49226B" w14:textId="77777777" w:rsidR="00141BEF" w:rsidRPr="00141BEF" w:rsidRDefault="00141BEF" w:rsidP="00141BEF">
      <w:pPr>
        <w:rPr>
          <w:rFonts w:ascii="Arial" w:hAnsi="Arial" w:cs="Arial"/>
          <w:sz w:val="2"/>
          <w:szCs w:val="2"/>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7EAAF0"/>
        <w:tblLook w:val="04A0" w:firstRow="1" w:lastRow="0" w:firstColumn="1" w:lastColumn="0" w:noHBand="0" w:noVBand="1"/>
      </w:tblPr>
      <w:tblGrid>
        <w:gridCol w:w="10467"/>
      </w:tblGrid>
      <w:tr w:rsidR="007B2E79" w14:paraId="12FD6A57" w14:textId="77777777">
        <w:tc>
          <w:tcPr>
            <w:tcW w:w="0" w:type="auto"/>
            <w:shd w:val="clear" w:color="auto" w:fill="7EAAF0"/>
            <w:tcMar>
              <w:top w:w="80" w:type="dxa"/>
              <w:left w:w="160" w:type="dxa"/>
              <w:bottom w:w="80" w:type="dxa"/>
              <w:right w:w="160" w:type="dxa"/>
            </w:tcMar>
            <w:hideMark/>
          </w:tcPr>
          <w:p w14:paraId="195F7B74" w14:textId="77777777" w:rsidR="007B2E79" w:rsidRDefault="007B2E79">
            <w:pPr>
              <w:spacing w:after="60"/>
              <w:rPr>
                <w:sz w:val="22"/>
                <w:szCs w:val="22"/>
                <w:lang w:eastAsia="en-GB"/>
              </w:rPr>
            </w:pPr>
            <w:r>
              <w:rPr>
                <w:b/>
                <w:bCs/>
                <w:sz w:val="22"/>
                <w:szCs w:val="22"/>
              </w:rPr>
              <w:t>Potassium lowering strategies and therapies:</w:t>
            </w:r>
          </w:p>
          <w:p w14:paraId="7F0FE13C" w14:textId="77777777" w:rsidR="007B2E79" w:rsidRDefault="007B2E79">
            <w:pPr>
              <w:spacing w:after="40"/>
              <w:rPr>
                <w:sz w:val="18"/>
                <w:szCs w:val="18"/>
              </w:rPr>
            </w:pPr>
            <w:r>
              <w:rPr>
                <w:b/>
                <w:bCs/>
                <w:sz w:val="18"/>
                <w:szCs w:val="18"/>
              </w:rPr>
              <w:t>1. Address correctable causes of hyperkalaemia:</w:t>
            </w:r>
          </w:p>
          <w:p w14:paraId="1F40C1AC" w14:textId="77777777" w:rsidR="007B2E79" w:rsidRDefault="007B2E79">
            <w:pPr>
              <w:spacing w:after="40"/>
              <w:rPr>
                <w:sz w:val="16"/>
                <w:szCs w:val="16"/>
              </w:rPr>
            </w:pPr>
            <w:r>
              <w:rPr>
                <w:sz w:val="16"/>
                <w:szCs w:val="16"/>
              </w:rPr>
              <w:t xml:space="preserve">✓ Adjust potassium elevating drugs**¹ – Prioritise those that can be swapped/withheld with least adverse consequences. </w:t>
            </w:r>
            <w:r>
              <w:rPr>
                <w:b/>
                <w:bCs/>
                <w:sz w:val="16"/>
                <w:szCs w:val="16"/>
              </w:rPr>
              <w:t>Down-titrate/discontinue RAASi therapy as a last resort²</w:t>
            </w:r>
            <w:r>
              <w:rPr>
                <w:sz w:val="16"/>
                <w:szCs w:val="16"/>
              </w:rPr>
              <w:t xml:space="preserve"> – see ‘RAASi therapy in the context of hyperkalaemia’</w:t>
            </w:r>
          </w:p>
          <w:p w14:paraId="1252952A" w14:textId="77777777" w:rsidR="007B2E79" w:rsidRDefault="007B2E79">
            <w:pPr>
              <w:spacing w:after="40"/>
              <w:rPr>
                <w:sz w:val="16"/>
                <w:szCs w:val="16"/>
              </w:rPr>
            </w:pPr>
            <w:r>
              <w:rPr>
                <w:sz w:val="16"/>
                <w:szCs w:val="16"/>
              </w:rPr>
              <w:t xml:space="preserve">✓ Modify diet – Advise a healthy, diverse diet with higher consumption of plant-based foods than animal-based foods and low consumption of ultra processed </w:t>
            </w:r>
            <w:proofErr w:type="gramStart"/>
            <w:r>
              <w:rPr>
                <w:sz w:val="16"/>
                <w:szCs w:val="16"/>
              </w:rPr>
              <w:t>foods.²</w:t>
            </w:r>
            <w:proofErr w:type="gramEnd"/>
            <w:r>
              <w:rPr>
                <w:sz w:val="16"/>
                <w:szCs w:val="16"/>
              </w:rPr>
              <w:t xml:space="preserve"> If potassium remains &gt;5.5 mmol/L once non-dietary factors are addressed, refer to specialist dietician¹</w:t>
            </w:r>
          </w:p>
          <w:p w14:paraId="05313026" w14:textId="77777777" w:rsidR="007B2E79" w:rsidRDefault="007B2E79">
            <w:pPr>
              <w:spacing w:after="20"/>
              <w:rPr>
                <w:sz w:val="16"/>
                <w:szCs w:val="16"/>
              </w:rPr>
            </w:pPr>
            <w:r>
              <w:rPr>
                <w:sz w:val="16"/>
                <w:szCs w:val="16"/>
              </w:rPr>
              <w:t>✓ Correct metabolic acidosis¹ – Metabolic acidosis increases the risk of hyperkalaemia</w:t>
            </w:r>
          </w:p>
          <w:p w14:paraId="4B10C4A5" w14:textId="77777777" w:rsidR="007B2E79" w:rsidRDefault="007B2E79">
            <w:pPr>
              <w:spacing w:after="20"/>
              <w:rPr>
                <w:sz w:val="16"/>
                <w:szCs w:val="16"/>
              </w:rPr>
            </w:pPr>
            <w:r>
              <w:rPr>
                <w:sz w:val="16"/>
                <w:szCs w:val="16"/>
              </w:rPr>
              <w:t>✓ Optimise glycaemic control¹ – Poorly controlled diabetes increases the risk of hyperkalaemia</w:t>
            </w:r>
          </w:p>
          <w:p w14:paraId="5D54D989" w14:textId="77777777" w:rsidR="007B2E79" w:rsidRDefault="007B2E79">
            <w:pPr>
              <w:spacing w:after="40"/>
              <w:rPr>
                <w:sz w:val="16"/>
                <w:szCs w:val="16"/>
              </w:rPr>
            </w:pPr>
            <w:r>
              <w:rPr>
                <w:sz w:val="16"/>
                <w:szCs w:val="16"/>
              </w:rPr>
              <w:t>✓ Avoid/address constipation¹ – Constipation increases the risk of hyperkalaemia</w:t>
            </w:r>
          </w:p>
          <w:p w14:paraId="1B2A56AE" w14:textId="77777777" w:rsidR="007B2E79" w:rsidRDefault="007B2E79">
            <w:pPr>
              <w:spacing w:after="20"/>
              <w:rPr>
                <w:sz w:val="18"/>
                <w:szCs w:val="18"/>
              </w:rPr>
            </w:pPr>
            <w:r>
              <w:rPr>
                <w:b/>
                <w:bCs/>
                <w:sz w:val="18"/>
                <w:szCs w:val="18"/>
              </w:rPr>
              <w:t>2. Consider potassium lowering medications (acutely or longer term):</w:t>
            </w:r>
          </w:p>
          <w:p w14:paraId="424C18FE" w14:textId="77777777" w:rsidR="007B2E79" w:rsidRDefault="007B2E79">
            <w:pPr>
              <w:spacing w:after="20"/>
              <w:rPr>
                <w:sz w:val="16"/>
                <w:szCs w:val="16"/>
              </w:rPr>
            </w:pPr>
            <w:r>
              <w:rPr>
                <w:sz w:val="16"/>
                <w:szCs w:val="16"/>
              </w:rPr>
              <w:t>✓ Diuretics – Can increase potassium excretion</w:t>
            </w:r>
          </w:p>
          <w:p w14:paraId="7C67A28F" w14:textId="77777777" w:rsidR="007B2E79" w:rsidRDefault="007B2E79">
            <w:pPr>
              <w:spacing w:after="20"/>
              <w:rPr>
                <w:sz w:val="16"/>
                <w:szCs w:val="16"/>
              </w:rPr>
            </w:pPr>
            <w:r>
              <w:rPr>
                <w:sz w:val="16"/>
                <w:szCs w:val="16"/>
              </w:rPr>
              <w:t>✓ Bicarbonate – Consider adding oral sodium bicarbonate if serum bicarbonate &lt;22 mmol/L</w:t>
            </w:r>
          </w:p>
          <w:p w14:paraId="2ED4436F" w14:textId="77777777" w:rsidR="007B2E79" w:rsidRDefault="007B2E79">
            <w:pPr>
              <w:spacing w:after="40"/>
              <w:rPr>
                <w:sz w:val="16"/>
                <w:szCs w:val="16"/>
              </w:rPr>
            </w:pPr>
            <w:r>
              <w:rPr>
                <w:sz w:val="16"/>
                <w:szCs w:val="16"/>
              </w:rPr>
              <w:t>✓ Potassium binders – Remove potassium from the body via the gastrointestinal tract¹</w:t>
            </w:r>
          </w:p>
          <w:p w14:paraId="202BB9FD" w14:textId="77777777" w:rsidR="007B2E79" w:rsidRDefault="007B2E79">
            <w:pPr>
              <w:spacing w:after="20"/>
              <w:rPr>
                <w:sz w:val="18"/>
                <w:szCs w:val="18"/>
              </w:rPr>
            </w:pPr>
            <w:r>
              <w:rPr>
                <w:b/>
                <w:bCs/>
                <w:sz w:val="18"/>
                <w:szCs w:val="18"/>
              </w:rPr>
              <w:t>3. Prevent recurrence of hyperkalaemia:</w:t>
            </w:r>
          </w:p>
          <w:p w14:paraId="488AEF62" w14:textId="77777777" w:rsidR="007B2E79" w:rsidRDefault="007B2E79">
            <w:pPr>
              <w:spacing w:after="20"/>
              <w:rPr>
                <w:sz w:val="16"/>
                <w:szCs w:val="16"/>
              </w:rPr>
            </w:pPr>
            <w:r>
              <w:rPr>
                <w:sz w:val="16"/>
                <w:szCs w:val="16"/>
              </w:rPr>
              <w:t>✓ Recurrence of hyperkalaemia should be anticipated, and steps taken to avoid it¹</w:t>
            </w:r>
          </w:p>
          <w:p w14:paraId="150E5F97" w14:textId="77777777" w:rsidR="007B2E79" w:rsidRDefault="007B2E79">
            <w:pPr>
              <w:spacing w:after="20"/>
              <w:rPr>
                <w:sz w:val="16"/>
                <w:szCs w:val="16"/>
              </w:rPr>
            </w:pPr>
            <w:r>
              <w:rPr>
                <w:sz w:val="16"/>
                <w:szCs w:val="16"/>
              </w:rPr>
              <w:t xml:space="preserve">✓ Careful prescribing of potassium elevating drugs – use only where clearly indicated, with particular care if combinations are required, e.g. </w:t>
            </w:r>
            <w:proofErr w:type="spellStart"/>
            <w:r>
              <w:rPr>
                <w:sz w:val="16"/>
                <w:szCs w:val="16"/>
              </w:rPr>
              <w:t>ACEi</w:t>
            </w:r>
            <w:proofErr w:type="spellEnd"/>
            <w:r>
              <w:rPr>
                <w:sz w:val="16"/>
                <w:szCs w:val="16"/>
              </w:rPr>
              <w:t>/ARB/</w:t>
            </w:r>
            <w:proofErr w:type="spellStart"/>
            <w:r>
              <w:rPr>
                <w:sz w:val="16"/>
                <w:szCs w:val="16"/>
              </w:rPr>
              <w:t>ARNi</w:t>
            </w:r>
            <w:proofErr w:type="spellEnd"/>
            <w:r>
              <w:rPr>
                <w:sz w:val="16"/>
                <w:szCs w:val="16"/>
              </w:rPr>
              <w:t xml:space="preserve"> + MRA for heart failure (HF)¹</w:t>
            </w:r>
          </w:p>
          <w:p w14:paraId="6375E74A" w14:textId="77777777" w:rsidR="007B2E79" w:rsidRDefault="007B2E79">
            <w:pPr>
              <w:spacing w:after="20"/>
              <w:rPr>
                <w:sz w:val="16"/>
                <w:szCs w:val="16"/>
              </w:rPr>
            </w:pPr>
            <w:r>
              <w:rPr>
                <w:sz w:val="16"/>
                <w:szCs w:val="16"/>
              </w:rPr>
              <w:t xml:space="preserve">✓ Regular review of correctable causes and consideration of the need for potassium lowering medications (as </w:t>
            </w:r>
            <w:proofErr w:type="gramStart"/>
            <w:r>
              <w:rPr>
                <w:sz w:val="16"/>
                <w:szCs w:val="16"/>
              </w:rPr>
              <w:t>above)¹</w:t>
            </w:r>
            <w:proofErr w:type="gramEnd"/>
          </w:p>
          <w:p w14:paraId="3D36EE01" w14:textId="77777777" w:rsidR="007B2E79" w:rsidRDefault="007B2E79">
            <w:pPr>
              <w:spacing w:after="20"/>
              <w:rPr>
                <w:sz w:val="16"/>
                <w:szCs w:val="16"/>
              </w:rPr>
            </w:pPr>
            <w:r>
              <w:rPr>
                <w:sz w:val="16"/>
                <w:szCs w:val="16"/>
              </w:rPr>
              <w:t>✓ Regular monitoring of bloods (potassium and renal function) and review should occur at the frequency appropriate for the disease state and the individual, e.g. 1–4 times per year for chronic kidney disease (CKD)² and HF³, with additional monitoring during intercurrent illness (especially dehydrating illness), titration of medications that affect potassium levels or renal function, or change in the underlying cardiorenal condition</w:t>
            </w:r>
          </w:p>
          <w:p w14:paraId="7F557A52" w14:textId="77777777" w:rsidR="007B2E79" w:rsidRDefault="007B2E79">
            <w:pPr>
              <w:spacing w:after="60"/>
              <w:rPr>
                <w:sz w:val="16"/>
                <w:szCs w:val="16"/>
              </w:rPr>
            </w:pPr>
            <w:r>
              <w:rPr>
                <w:sz w:val="16"/>
                <w:szCs w:val="16"/>
              </w:rPr>
              <w:t>✓ Education of individuals with cardiorenal disease</w:t>
            </w:r>
          </w:p>
          <w:p w14:paraId="0D429374" w14:textId="77777777" w:rsidR="007B2E79" w:rsidRDefault="007B2E79">
            <w:pPr>
              <w:shd w:val="clear" w:color="auto" w:fill="C7DBFA"/>
              <w:spacing w:after="60"/>
              <w:rPr>
                <w:sz w:val="16"/>
                <w:szCs w:val="16"/>
              </w:rPr>
            </w:pPr>
            <w:r>
              <w:rPr>
                <w:rFonts w:ascii="Segoe UI Symbol" w:hAnsi="Segoe UI Symbol" w:cs="Segoe UI Symbol"/>
                <w:b/>
                <w:bCs/>
                <w:sz w:val="16"/>
                <w:szCs w:val="16"/>
              </w:rPr>
              <w:t>⚒</w:t>
            </w:r>
            <w:r>
              <w:rPr>
                <w:b/>
                <w:bCs/>
                <w:sz w:val="16"/>
                <w:szCs w:val="16"/>
              </w:rPr>
              <w:t xml:space="preserve"> Sick day guidance</w:t>
            </w:r>
            <w:r>
              <w:rPr>
                <w:sz w:val="16"/>
                <w:szCs w:val="16"/>
              </w:rPr>
              <w:t xml:space="preserve"> – A temporary pause of RAASi therapy, diuretics, metformin and sodium-glucose co-transporter-2 inhibitors during acute dehydrating illness may decrease the risk of acute kidney injury and hyperkalaemia. However, the evidence base for this is weak and there is potential for harm if these medications are not re-instated. Sick day guidance should be based on an individual risk assessment and there must be a clear plan to re-instate any paused </w:t>
            </w:r>
            <w:proofErr w:type="gramStart"/>
            <w:r>
              <w:rPr>
                <w:sz w:val="16"/>
                <w:szCs w:val="16"/>
              </w:rPr>
              <w:t>medications.¹</w:t>
            </w:r>
            <w:proofErr w:type="gramEnd"/>
            <w:r>
              <w:rPr>
                <w:sz w:val="16"/>
                <w:szCs w:val="16"/>
              </w:rPr>
              <w:t>,²</w:t>
            </w:r>
          </w:p>
          <w:p w14:paraId="4E1F7FC3" w14:textId="77777777" w:rsidR="007B2E79" w:rsidRDefault="007B2E79">
            <w:pPr>
              <w:shd w:val="clear" w:color="auto" w:fill="C7DBFA"/>
              <w:spacing w:after="20"/>
              <w:rPr>
                <w:sz w:val="16"/>
                <w:szCs w:val="16"/>
              </w:rPr>
            </w:pPr>
            <w:r>
              <w:rPr>
                <w:b/>
                <w:bCs/>
                <w:sz w:val="16"/>
                <w:szCs w:val="16"/>
              </w:rPr>
              <w:t>**Potassium elevating drugs¹</w:t>
            </w:r>
          </w:p>
          <w:p w14:paraId="297545A4" w14:textId="77777777" w:rsidR="007B2E79" w:rsidRDefault="007B2E79">
            <w:pPr>
              <w:shd w:val="clear" w:color="auto" w:fill="C7DBFA"/>
              <w:rPr>
                <w:sz w:val="14"/>
                <w:szCs w:val="14"/>
              </w:rPr>
            </w:pPr>
            <w:r>
              <w:rPr>
                <w:sz w:val="14"/>
                <w:szCs w:val="14"/>
              </w:rPr>
              <w:t xml:space="preserve">• RAASi (ACE inhibitors, angiotensin II receptor blockers, mineralocorticoid receptor </w:t>
            </w:r>
            <w:proofErr w:type="gramStart"/>
            <w:r>
              <w:rPr>
                <w:sz w:val="14"/>
                <w:szCs w:val="14"/>
              </w:rPr>
              <w:t xml:space="preserve">antagonists)   </w:t>
            </w:r>
            <w:proofErr w:type="gramEnd"/>
            <w:r>
              <w:rPr>
                <w:sz w:val="14"/>
                <w:szCs w:val="14"/>
              </w:rPr>
              <w:t xml:space="preserve">• Potassium supplements   • Potassium-sparing diuretics   • Trimethoprim/co-trimoxazole   • Nonsteroidal anti-inflammatory drugs   • </w:t>
            </w:r>
            <w:proofErr w:type="gramStart"/>
            <w:r>
              <w:rPr>
                <w:sz w:val="14"/>
                <w:szCs w:val="14"/>
              </w:rPr>
              <w:t>Non-selective</w:t>
            </w:r>
            <w:proofErr w:type="gramEnd"/>
            <w:r>
              <w:rPr>
                <w:sz w:val="14"/>
                <w:szCs w:val="14"/>
              </w:rPr>
              <w:t xml:space="preserve"> beta-blockers   • Antifungals   • Digoxin   • Salt substitutes   • Herbal medicines (e.g. alfalfa, dandelion)</w:t>
            </w:r>
          </w:p>
        </w:tc>
      </w:tr>
    </w:tbl>
    <w:p w14:paraId="1EE54334" w14:textId="15B33220" w:rsidR="007B2E79" w:rsidRDefault="007B2E79">
      <w:r>
        <w:rPr>
          <w:noProof/>
        </w:rPr>
        <mc:AlternateContent>
          <mc:Choice Requires="wps">
            <w:drawing>
              <wp:anchor distT="0" distB="0" distL="114300" distR="114300" simplePos="0" relativeHeight="251659264" behindDoc="0" locked="0" layoutInCell="1" allowOverlap="1" wp14:anchorId="12414C65" wp14:editId="1696AAC1">
                <wp:simplePos x="0" y="0"/>
                <wp:positionH relativeFrom="margin">
                  <wp:align>left</wp:align>
                </wp:positionH>
                <wp:positionV relativeFrom="paragraph">
                  <wp:posOffset>3915241</wp:posOffset>
                </wp:positionV>
                <wp:extent cx="7197789" cy="227853"/>
                <wp:effectExtent l="0" t="0" r="0" b="0"/>
                <wp:wrapNone/>
                <wp:docPr id="3" name="Text Placeholder 2">
                  <a:extLst xmlns:a="http://schemas.openxmlformats.org/drawingml/2006/main">
                    <a:ext uri="{FF2B5EF4-FFF2-40B4-BE49-F238E27FC236}">
                      <a16:creationId xmlns:a16="http://schemas.microsoft.com/office/drawing/2014/main" id="{583976AF-7C15-821C-0713-E4012F8D51A2}"/>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197789" cy="227853"/>
                        </a:xfrm>
                        <a:prstGeom prst="rect">
                          <a:avLst/>
                        </a:prstGeom>
                        <a:noFill/>
                      </wps:spPr>
                      <wps:bodyPr vert="horz" lIns="0" tIns="0" rIns="0" bIns="0" rtlCol="0">
                        <a:normAutofit/>
                      </wps:bodyPr>
                    </wps:wsp>
                  </a:graphicData>
                </a:graphic>
              </wp:anchor>
            </w:drawing>
          </mc:Choice>
          <mc:Fallback>
            <w:pict>
              <v:shapetype w14:anchorId="2DAF4163" id="_x0000_t202" coordsize="21600,21600" o:spt="202" path="m,l,21600r21600,l21600,xe">
                <v:stroke joinstyle="miter"/>
                <v:path gradientshapeok="t" o:connecttype="rect"/>
              </v:shapetype>
              <v:shape id="Text Placeholder 2" o:spid="_x0000_s1026" type="#_x0000_t202" style="position:absolute;margin-left:0;margin-top:308.3pt;width:566.75pt;height:17.95pt;z-index:251659264;visibility:visible;mso-wrap-style:square;mso-wrap-distance-left:9pt;mso-wrap-distance-top:0;mso-wrap-distance-right:9pt;mso-wrap-distance-bottom:0;mso-position-horizontal:lef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" filled="f" stroked="f">
                <v:textbox inset="0,0,0,0"/>
                <w10:wrap anchorx="margin"/>
              </v:shape>
            </w:pict>
          </mc:Fallback>
        </mc:AlternateConten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467"/>
      </w:tblGrid>
      <w:tr w:rsidR="007B2E79" w14:paraId="7709563D" w14:textId="77777777">
        <w:tc>
          <w:tcPr>
            <w:tcW w:w="0" w:type="auto"/>
            <w:shd w:val="clear" w:color="auto" w:fill="7EAAF0"/>
            <w:tcMar>
              <w:top w:w="80" w:type="dxa"/>
              <w:left w:w="160" w:type="dxa"/>
              <w:bottom w:w="80" w:type="dxa"/>
              <w:right w:w="160" w:type="dxa"/>
            </w:tcMar>
            <w:hideMark/>
          </w:tcPr>
          <w:p w14:paraId="15C6F08A" w14:textId="77777777" w:rsidR="007B2E79" w:rsidRDefault="007B2E79">
            <w:pPr>
              <w:spacing w:after="40"/>
              <w:rPr>
                <w:sz w:val="22"/>
                <w:szCs w:val="22"/>
                <w:lang w:eastAsia="en-GB"/>
              </w:rPr>
            </w:pPr>
            <w:r>
              <w:rPr>
                <w:b/>
                <w:bCs/>
                <w:sz w:val="22"/>
                <w:szCs w:val="22"/>
              </w:rPr>
              <w:t>RAASi therapy in the context of hyperkalaemia:</w:t>
            </w:r>
          </w:p>
          <w:p w14:paraId="0C06944F" w14:textId="77777777" w:rsidR="007B2E79" w:rsidRDefault="007B2E79">
            <w:pPr>
              <w:spacing w:after="20"/>
              <w:rPr>
                <w:sz w:val="16"/>
                <w:szCs w:val="16"/>
              </w:rPr>
            </w:pPr>
            <w:r>
              <w:rPr>
                <w:sz w:val="16"/>
                <w:szCs w:val="16"/>
              </w:rPr>
              <w:t>• Hyperkalaemia associated with RAASi use can often be managed by measures to reduce potassium other than down-titration or discontinuation of RAASi therapy²</w:t>
            </w:r>
          </w:p>
          <w:p w14:paraId="73745AAF" w14:textId="77777777" w:rsidR="007B2E79" w:rsidRDefault="007B2E79">
            <w:pPr>
              <w:spacing w:after="20"/>
              <w:rPr>
                <w:sz w:val="16"/>
                <w:szCs w:val="16"/>
              </w:rPr>
            </w:pPr>
            <w:r>
              <w:rPr>
                <w:sz w:val="16"/>
                <w:szCs w:val="16"/>
              </w:rPr>
              <w:t>• Down-titration or discontinuation of RAASi therapies is associated with adverse clinical outcomes in CKD and HF⁴–⁷</w:t>
            </w:r>
          </w:p>
          <w:p w14:paraId="51C7F06C" w14:textId="77777777" w:rsidR="007B2E79" w:rsidRDefault="007B2E79">
            <w:pPr>
              <w:spacing w:after="20"/>
              <w:rPr>
                <w:sz w:val="16"/>
                <w:szCs w:val="16"/>
              </w:rPr>
            </w:pPr>
            <w:r>
              <w:rPr>
                <w:sz w:val="16"/>
                <w:szCs w:val="16"/>
              </w:rPr>
              <w:t xml:space="preserve">• Only down-titrate or discontinue RAASi as a last resort; if hyperkalaemia is uncontrolled despite ‘Potassium lowering strategies and therapies’, or symptomatic hypotension or serum potassium &gt;6.5 mmol/L (until normokalaemia </w:t>
            </w:r>
            <w:proofErr w:type="gramStart"/>
            <w:r>
              <w:rPr>
                <w:sz w:val="16"/>
                <w:szCs w:val="16"/>
              </w:rPr>
              <w:t>achieved)²</w:t>
            </w:r>
            <w:proofErr w:type="gramEnd"/>
          </w:p>
          <w:p w14:paraId="7E5F3B05" w14:textId="77777777" w:rsidR="007B2E79" w:rsidRDefault="007B2E79">
            <w:pPr>
              <w:spacing w:after="20"/>
              <w:rPr>
                <w:sz w:val="16"/>
                <w:szCs w:val="16"/>
              </w:rPr>
            </w:pPr>
            <w:r>
              <w:rPr>
                <w:sz w:val="16"/>
                <w:szCs w:val="16"/>
              </w:rPr>
              <w:t>• Re-initiate and re-optimise RAASi therapies that are down-titrated or discontinued once normokalaemia is achieved wherever possible – utilise appropriate ‘Potassium lowering therapies and strategies’</w:t>
            </w:r>
          </w:p>
          <w:p w14:paraId="26681C37" w14:textId="77777777" w:rsidR="007B2E79" w:rsidRDefault="007B2E79">
            <w:pPr>
              <w:spacing w:after="20"/>
              <w:rPr>
                <w:sz w:val="16"/>
                <w:szCs w:val="16"/>
              </w:rPr>
            </w:pPr>
            <w:r>
              <w:rPr>
                <w:sz w:val="16"/>
                <w:szCs w:val="16"/>
              </w:rPr>
              <w:t>• If hyperkalaemia is preventing RAASi optimisation, seek specialist advice</w:t>
            </w:r>
          </w:p>
          <w:p w14:paraId="030F24F4" w14:textId="77777777" w:rsidR="007B2E79" w:rsidRDefault="007B2E79">
            <w:pPr>
              <w:rPr>
                <w:sz w:val="16"/>
                <w:szCs w:val="16"/>
              </w:rPr>
            </w:pPr>
            <w:r>
              <w:rPr>
                <w:sz w:val="16"/>
                <w:szCs w:val="16"/>
              </w:rPr>
              <w:t>• N.B. If RAASi therapies are discontinued, also discontinue potassium lowering therapies as appropriate</w:t>
            </w:r>
          </w:p>
        </w:tc>
      </w:tr>
      <w:tr w:rsidR="007B2E79" w14:paraId="41BAA22A" w14:textId="77777777">
        <w:trPr>
          <w:trHeight w:val="120"/>
        </w:trPr>
        <w:tc>
          <w:tcPr>
            <w:tcW w:w="0" w:type="auto"/>
            <w:tcBorders>
              <w:top w:val="nil"/>
              <w:left w:val="nil"/>
              <w:bottom w:val="nil"/>
              <w:right w:val="nil"/>
            </w:tcBorders>
            <w:shd w:val="clear" w:color="auto" w:fill="FFFFFF"/>
            <w:tcMar>
              <w:top w:w="0" w:type="dxa"/>
              <w:left w:w="0" w:type="dxa"/>
              <w:bottom w:w="0" w:type="dxa"/>
              <w:right w:w="0" w:type="dxa"/>
            </w:tcMar>
            <w:hideMark/>
          </w:tcPr>
          <w:p w14:paraId="3C3E6BCE" w14:textId="77777777" w:rsidR="007B2E79" w:rsidRDefault="007B2E79">
            <w:pPr>
              <w:rPr>
                <w:sz w:val="2"/>
                <w:szCs w:val="2"/>
              </w:rPr>
            </w:pPr>
          </w:p>
        </w:tc>
      </w:tr>
      <w:tr w:rsidR="007B2E79" w14:paraId="5FC137FA" w14:textId="77777777">
        <w:tc>
          <w:tcPr>
            <w:tcW w:w="0" w:type="auto"/>
            <w:shd w:val="clear" w:color="auto" w:fill="FFD36A"/>
            <w:tcMar>
              <w:top w:w="80" w:type="dxa"/>
              <w:left w:w="160" w:type="dxa"/>
              <w:bottom w:w="80" w:type="dxa"/>
              <w:right w:w="160" w:type="dxa"/>
            </w:tcMar>
            <w:hideMark/>
          </w:tcPr>
          <w:p w14:paraId="2FEC076A" w14:textId="77777777" w:rsidR="007B2E79" w:rsidRDefault="007B2E79">
            <w:pPr>
              <w:spacing w:after="40"/>
              <w:rPr>
                <w:sz w:val="20"/>
                <w:szCs w:val="20"/>
              </w:rPr>
            </w:pPr>
            <w:r>
              <w:rPr>
                <w:b/>
                <w:bCs/>
                <w:sz w:val="20"/>
                <w:szCs w:val="20"/>
              </w:rPr>
              <w:t>References:</w:t>
            </w:r>
          </w:p>
          <w:p w14:paraId="0CE54567" w14:textId="77777777" w:rsidR="007B2E79" w:rsidRPr="00F22636" w:rsidRDefault="007B2E79">
            <w:pPr>
              <w:spacing w:after="20"/>
              <w:rPr>
                <w:sz w:val="16"/>
                <w:szCs w:val="16"/>
              </w:rPr>
            </w:pPr>
            <w:r w:rsidRPr="00F22636">
              <w:rPr>
                <w:sz w:val="16"/>
                <w:szCs w:val="16"/>
              </w:rPr>
              <w:t>1. Alfonzo A, Harrison A, Baines R, Chu A, Mann S, MacRury M. Clinical Practice Guidelines: Treatment of Acute Hyperkalaemia in Adults [Internet]. UKKA. 2023. Available from: https://ukkidney.org/sites/renal.org/files/FINAL%20VERSION%20-%20UKKA%20CLINICAL%20PRACTICE%20GUIDELINE%20-%20MANAGEMENT%20OF%20HYPERKALAEMIA%20IN%20ADULTS%20-%20191223_0.pdf</w:t>
            </w:r>
          </w:p>
          <w:p w14:paraId="52A4365E" w14:textId="77777777" w:rsidR="007B2E79" w:rsidRPr="00F22636" w:rsidRDefault="007B2E79">
            <w:pPr>
              <w:spacing w:after="20"/>
              <w:rPr>
                <w:sz w:val="16"/>
                <w:szCs w:val="16"/>
              </w:rPr>
            </w:pPr>
            <w:r w:rsidRPr="00F22636">
              <w:rPr>
                <w:sz w:val="16"/>
                <w:szCs w:val="16"/>
              </w:rPr>
              <w:t>2. Kidney Disease: Improving Global Outcomes (KDIGO) CKD Work Group. KDIGO 2024 Clinical Practice Guideline for the Evaluation and Management of Chronic Kidney Disease. Kidney Int. 2024 Apr;105(4S</w:t>
            </w:r>
            <w:proofErr w:type="gramStart"/>
            <w:r w:rsidRPr="00F22636">
              <w:rPr>
                <w:sz w:val="16"/>
                <w:szCs w:val="16"/>
              </w:rPr>
              <w:t>):S</w:t>
            </w:r>
            <w:proofErr w:type="gramEnd"/>
            <w:r w:rsidRPr="00F22636">
              <w:rPr>
                <w:sz w:val="16"/>
                <w:szCs w:val="16"/>
              </w:rPr>
              <w:t>117–S314.</w:t>
            </w:r>
          </w:p>
          <w:p w14:paraId="00C6859A" w14:textId="77777777" w:rsidR="007B2E79" w:rsidRPr="00F22636" w:rsidRDefault="007B2E79">
            <w:pPr>
              <w:spacing w:after="20"/>
              <w:rPr>
                <w:sz w:val="16"/>
                <w:szCs w:val="16"/>
              </w:rPr>
            </w:pPr>
            <w:r w:rsidRPr="00F22636">
              <w:rPr>
                <w:sz w:val="16"/>
                <w:szCs w:val="16"/>
              </w:rPr>
              <w:t>3. McDonagh TA, Metra M, Adamo M, Gardner RS, Baumbach A, Böhm M, et al. 2021 ESC Guidelines for the Diagnosis and Treatment of Acute and Chronic Heart Failure. European Heart Journal. 2021;42(36):3599–3726.</w:t>
            </w:r>
          </w:p>
          <w:p w14:paraId="5B000311" w14:textId="77777777" w:rsidR="007B2E79" w:rsidRPr="00F22636" w:rsidRDefault="007B2E79">
            <w:pPr>
              <w:spacing w:after="20"/>
              <w:rPr>
                <w:sz w:val="16"/>
                <w:szCs w:val="16"/>
              </w:rPr>
            </w:pPr>
            <w:r w:rsidRPr="00F22636">
              <w:rPr>
                <w:sz w:val="16"/>
                <w:szCs w:val="16"/>
              </w:rPr>
              <w:t xml:space="preserve">4. Kanda E, Rastogi A, </w:t>
            </w:r>
            <w:proofErr w:type="spellStart"/>
            <w:r w:rsidRPr="00F22636">
              <w:rPr>
                <w:sz w:val="16"/>
                <w:szCs w:val="16"/>
              </w:rPr>
              <w:t>Murohara</w:t>
            </w:r>
            <w:proofErr w:type="spellEnd"/>
            <w:r w:rsidRPr="00F22636">
              <w:rPr>
                <w:sz w:val="16"/>
                <w:szCs w:val="16"/>
              </w:rPr>
              <w:t xml:space="preserve"> T, </w:t>
            </w:r>
            <w:proofErr w:type="spellStart"/>
            <w:r w:rsidRPr="00F22636">
              <w:rPr>
                <w:sz w:val="16"/>
                <w:szCs w:val="16"/>
              </w:rPr>
              <w:t>Lesén</w:t>
            </w:r>
            <w:proofErr w:type="spellEnd"/>
            <w:r w:rsidRPr="00F22636">
              <w:rPr>
                <w:sz w:val="16"/>
                <w:szCs w:val="16"/>
              </w:rPr>
              <w:t xml:space="preserve"> E, </w:t>
            </w:r>
            <w:proofErr w:type="spellStart"/>
            <w:r w:rsidRPr="00F22636">
              <w:rPr>
                <w:sz w:val="16"/>
                <w:szCs w:val="16"/>
              </w:rPr>
              <w:t>Agiro</w:t>
            </w:r>
            <w:proofErr w:type="spellEnd"/>
            <w:r w:rsidRPr="00F22636">
              <w:rPr>
                <w:sz w:val="16"/>
                <w:szCs w:val="16"/>
              </w:rPr>
              <w:t xml:space="preserve"> A, Arnold M, et al. Clinical Impact of Suboptimal RAASi Therapy Following an Episode of </w:t>
            </w:r>
            <w:proofErr w:type="spellStart"/>
            <w:r w:rsidRPr="00F22636">
              <w:rPr>
                <w:sz w:val="16"/>
                <w:szCs w:val="16"/>
              </w:rPr>
              <w:t>Hyperkalemia</w:t>
            </w:r>
            <w:proofErr w:type="spellEnd"/>
            <w:r w:rsidRPr="00F22636">
              <w:rPr>
                <w:sz w:val="16"/>
                <w:szCs w:val="16"/>
              </w:rPr>
              <w:t>. BMC Nephrology. 2023;24(1):18.</w:t>
            </w:r>
          </w:p>
          <w:p w14:paraId="2A827DC4" w14:textId="77777777" w:rsidR="007B2E79" w:rsidRPr="00F22636" w:rsidRDefault="007B2E79">
            <w:pPr>
              <w:spacing w:after="20"/>
              <w:rPr>
                <w:sz w:val="16"/>
                <w:szCs w:val="16"/>
              </w:rPr>
            </w:pPr>
            <w:r w:rsidRPr="00F22636">
              <w:rPr>
                <w:sz w:val="16"/>
                <w:szCs w:val="16"/>
              </w:rPr>
              <w:t xml:space="preserve">5. Epstein M, Reaven NL, Funk SE, McGaughey KJ, Oestreicher N, Knispel J. Evaluation of the Treatment Gap Between Clinical Guidelines and the Utilization of Renin–Angiotensin–Aldosterone System Inhibitors. The American Journal of Managed Care. 2015;21(11 </w:t>
            </w:r>
            <w:proofErr w:type="spellStart"/>
            <w:r w:rsidRPr="00F22636">
              <w:rPr>
                <w:sz w:val="16"/>
                <w:szCs w:val="16"/>
              </w:rPr>
              <w:t>Suppl</w:t>
            </w:r>
            <w:proofErr w:type="spellEnd"/>
            <w:proofErr w:type="gramStart"/>
            <w:r w:rsidRPr="00F22636">
              <w:rPr>
                <w:sz w:val="16"/>
                <w:szCs w:val="16"/>
              </w:rPr>
              <w:t>):S</w:t>
            </w:r>
            <w:proofErr w:type="gramEnd"/>
            <w:r w:rsidRPr="00F22636">
              <w:rPr>
                <w:sz w:val="16"/>
                <w:szCs w:val="16"/>
              </w:rPr>
              <w:t>212–20.</w:t>
            </w:r>
          </w:p>
          <w:p w14:paraId="6B1F9E4B" w14:textId="77777777" w:rsidR="007B2E79" w:rsidRPr="00F22636" w:rsidRDefault="007B2E79">
            <w:pPr>
              <w:spacing w:after="20"/>
              <w:rPr>
                <w:sz w:val="16"/>
                <w:szCs w:val="16"/>
              </w:rPr>
            </w:pPr>
            <w:r w:rsidRPr="00F22636">
              <w:rPr>
                <w:sz w:val="16"/>
                <w:szCs w:val="16"/>
              </w:rPr>
              <w:t xml:space="preserve">6. Linde C, </w:t>
            </w:r>
            <w:proofErr w:type="spellStart"/>
            <w:r w:rsidRPr="00F22636">
              <w:rPr>
                <w:sz w:val="16"/>
                <w:szCs w:val="16"/>
              </w:rPr>
              <w:t>Bakhai</w:t>
            </w:r>
            <w:proofErr w:type="spellEnd"/>
            <w:r w:rsidRPr="00F22636">
              <w:rPr>
                <w:sz w:val="16"/>
                <w:szCs w:val="16"/>
              </w:rPr>
              <w:t xml:space="preserve"> A, </w:t>
            </w:r>
            <w:proofErr w:type="spellStart"/>
            <w:r w:rsidRPr="00F22636">
              <w:rPr>
                <w:sz w:val="16"/>
                <w:szCs w:val="16"/>
              </w:rPr>
              <w:t>Furuland</w:t>
            </w:r>
            <w:proofErr w:type="spellEnd"/>
            <w:r w:rsidRPr="00F22636">
              <w:rPr>
                <w:sz w:val="16"/>
                <w:szCs w:val="16"/>
              </w:rPr>
              <w:t xml:space="preserve"> H, Evans M, McEwan P, </w:t>
            </w:r>
            <w:proofErr w:type="spellStart"/>
            <w:r w:rsidRPr="00F22636">
              <w:rPr>
                <w:sz w:val="16"/>
                <w:szCs w:val="16"/>
              </w:rPr>
              <w:t>Ayoubkhani</w:t>
            </w:r>
            <w:proofErr w:type="spellEnd"/>
            <w:r w:rsidRPr="00F22636">
              <w:rPr>
                <w:sz w:val="16"/>
                <w:szCs w:val="16"/>
              </w:rPr>
              <w:t xml:space="preserve"> D, et al. Real-World Associations of Renin–Angiotensin–Aldosterone System Inhibitor Dose, </w:t>
            </w:r>
            <w:proofErr w:type="spellStart"/>
            <w:r w:rsidRPr="00F22636">
              <w:rPr>
                <w:sz w:val="16"/>
                <w:szCs w:val="16"/>
              </w:rPr>
              <w:t>Hyperkalemia</w:t>
            </w:r>
            <w:proofErr w:type="spellEnd"/>
            <w:r w:rsidRPr="00F22636">
              <w:rPr>
                <w:sz w:val="16"/>
                <w:szCs w:val="16"/>
              </w:rPr>
              <w:t xml:space="preserve">, and Adverse Clinical Outcomes in a Cohort of Patients </w:t>
            </w:r>
            <w:proofErr w:type="gramStart"/>
            <w:r w:rsidRPr="00F22636">
              <w:rPr>
                <w:sz w:val="16"/>
                <w:szCs w:val="16"/>
              </w:rPr>
              <w:t>With</w:t>
            </w:r>
            <w:proofErr w:type="gramEnd"/>
            <w:r w:rsidRPr="00F22636">
              <w:rPr>
                <w:sz w:val="16"/>
                <w:szCs w:val="16"/>
              </w:rPr>
              <w:t xml:space="preserve"> New-Onset Chronic Kidney Disease or Heart Failure in the United Kingdom. Journal of the American Heart Association. 2019;8(22</w:t>
            </w:r>
            <w:proofErr w:type="gramStart"/>
            <w:r w:rsidRPr="00F22636">
              <w:rPr>
                <w:sz w:val="16"/>
                <w:szCs w:val="16"/>
              </w:rPr>
              <w:t>):e</w:t>
            </w:r>
            <w:proofErr w:type="gramEnd"/>
            <w:r w:rsidRPr="00F22636">
              <w:rPr>
                <w:sz w:val="16"/>
                <w:szCs w:val="16"/>
              </w:rPr>
              <w:t>012655.</w:t>
            </w:r>
          </w:p>
          <w:p w14:paraId="37089823" w14:textId="77777777" w:rsidR="007B2E79" w:rsidRDefault="007B2E79">
            <w:pPr>
              <w:rPr>
                <w:sz w:val="14"/>
                <w:szCs w:val="14"/>
              </w:rPr>
            </w:pPr>
            <w:r w:rsidRPr="00F22636">
              <w:rPr>
                <w:sz w:val="16"/>
                <w:szCs w:val="16"/>
              </w:rPr>
              <w:t xml:space="preserve">7. Leon SJ, Whitlock R, </w:t>
            </w:r>
            <w:proofErr w:type="spellStart"/>
            <w:r w:rsidRPr="00F22636">
              <w:rPr>
                <w:sz w:val="16"/>
                <w:szCs w:val="16"/>
              </w:rPr>
              <w:t>Rigatto</w:t>
            </w:r>
            <w:proofErr w:type="spellEnd"/>
            <w:r w:rsidRPr="00F22636">
              <w:rPr>
                <w:sz w:val="16"/>
                <w:szCs w:val="16"/>
              </w:rPr>
              <w:t xml:space="preserve"> C, Komenda P, Bohm C, Sucha E, et al. </w:t>
            </w:r>
            <w:proofErr w:type="spellStart"/>
            <w:r w:rsidRPr="00F22636">
              <w:rPr>
                <w:sz w:val="16"/>
                <w:szCs w:val="16"/>
              </w:rPr>
              <w:t>Hyperkalemia</w:t>
            </w:r>
            <w:proofErr w:type="spellEnd"/>
            <w:r w:rsidRPr="00F22636">
              <w:rPr>
                <w:sz w:val="16"/>
                <w:szCs w:val="16"/>
              </w:rPr>
              <w:t>-Related Discontinuation of Renin–Angiotensin–Aldosterone System Inhibitors and Clinical Outcomes in CKD: A Population-Based Cohort Study. American Journal of Kidney Diseases. 2022;80(2):164–</w:t>
            </w:r>
            <w:proofErr w:type="gramStart"/>
            <w:r w:rsidRPr="00F22636">
              <w:rPr>
                <w:sz w:val="16"/>
                <w:szCs w:val="16"/>
              </w:rPr>
              <w:t>73.e</w:t>
            </w:r>
            <w:proofErr w:type="gramEnd"/>
            <w:r w:rsidRPr="00F22636">
              <w:rPr>
                <w:sz w:val="16"/>
                <w:szCs w:val="16"/>
              </w:rPr>
              <w:t>1.</w:t>
            </w:r>
          </w:p>
        </w:tc>
      </w:tr>
    </w:tbl>
    <w:p w14:paraId="1346F8AA" w14:textId="438E47CF" w:rsidR="00B34F6D" w:rsidRDefault="00B34F6D"/>
    <w:p w14:paraId="1AC35632" w14:textId="2038BE4F" w:rsidR="00750465" w:rsidRDefault="00F22636" w:rsidP="00F22636">
      <w:pPr>
        <w:tabs>
          <w:tab w:val="left" w:pos="1508"/>
        </w:tabs>
      </w:pPr>
      <w:r>
        <w:lastRenderedPageBreak/>
        <w:tab/>
      </w:r>
    </w:p>
    <w:p w14:paraId="53A34954" w14:textId="77777777" w:rsidR="00F22636" w:rsidRDefault="00F22636" w:rsidP="00750465"/>
    <w:p w14:paraId="571C764D" w14:textId="77777777" w:rsidR="00F22636" w:rsidRDefault="00F22636" w:rsidP="00F22636">
      <w:pPr>
        <w:tabs>
          <w:tab w:val="left" w:pos="3138"/>
        </w:tabs>
      </w:pPr>
    </w:p>
    <w:p w14:paraId="79F358BD" w14:textId="77777777" w:rsidR="00F22636" w:rsidRDefault="00F22636" w:rsidP="00F22636">
      <w:pPr>
        <w:tabs>
          <w:tab w:val="left" w:pos="3138"/>
        </w:tabs>
      </w:pPr>
    </w:p>
    <w:p w14:paraId="07A032AA" w14:textId="77777777" w:rsidR="00F22636" w:rsidRDefault="00F22636" w:rsidP="00F22636">
      <w:pPr>
        <w:tabs>
          <w:tab w:val="left" w:pos="3138"/>
        </w:tabs>
        <w:rPr>
          <w:b/>
          <w:bCs/>
          <w:sz w:val="28"/>
          <w:szCs w:val="28"/>
        </w:rPr>
      </w:pPr>
      <w:hyperlink r:id="rId6" w:history="1">
        <w:r w:rsidRPr="00977A21">
          <w:rPr>
            <w:rStyle w:val="Hyperlink"/>
            <w:b/>
            <w:bCs/>
            <w:sz w:val="28"/>
            <w:szCs w:val="28"/>
          </w:rPr>
          <w:t>Click here</w:t>
        </w:r>
      </w:hyperlink>
      <w:r w:rsidRPr="00977A21">
        <w:rPr>
          <w:b/>
          <w:bCs/>
          <w:sz w:val="28"/>
          <w:szCs w:val="28"/>
        </w:rPr>
        <w:t xml:space="preserve"> or scan the QR code to access the LOKELMA (sodium zirconium cyclosilicate) prescribing information.</w:t>
      </w:r>
    </w:p>
    <w:p w14:paraId="27C45BBB" w14:textId="77777777" w:rsidR="00F22636" w:rsidRDefault="00F22636" w:rsidP="00F22636">
      <w:pPr>
        <w:tabs>
          <w:tab w:val="left" w:pos="3138"/>
        </w:tabs>
        <w:rPr>
          <w:b/>
          <w:bCs/>
          <w:sz w:val="28"/>
          <w:szCs w:val="28"/>
        </w:rPr>
      </w:pPr>
      <w:r w:rsidRPr="00977A21">
        <w:rPr>
          <w:b/>
          <w:bCs/>
          <w:noProof/>
          <w:sz w:val="28"/>
          <w:szCs w:val="28"/>
        </w:rPr>
        <w:drawing>
          <wp:anchor distT="0" distB="0" distL="114300" distR="114300" simplePos="0" relativeHeight="251662336" behindDoc="1" locked="0" layoutInCell="1" allowOverlap="1" wp14:anchorId="7D809BEF" wp14:editId="49EB24D2">
            <wp:simplePos x="0" y="0"/>
            <wp:positionH relativeFrom="column">
              <wp:posOffset>2267585</wp:posOffset>
            </wp:positionH>
            <wp:positionV relativeFrom="paragraph">
              <wp:posOffset>10160</wp:posOffset>
            </wp:positionV>
            <wp:extent cx="1871345" cy="1871345"/>
            <wp:effectExtent l="0" t="0" r="0" b="0"/>
            <wp:wrapTight wrapText="bothSides">
              <wp:wrapPolygon edited="0">
                <wp:start x="0" y="0"/>
                <wp:lineTo x="0" y="21329"/>
                <wp:lineTo x="21329" y="21329"/>
                <wp:lineTo x="21329" y="0"/>
                <wp:lineTo x="0" y="0"/>
              </wp:wrapPolygon>
            </wp:wrapTight>
            <wp:docPr id="10232173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217321" name=""/>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71345" cy="1871345"/>
                    </a:xfrm>
                    <a:prstGeom prst="rect">
                      <a:avLst/>
                    </a:prstGeom>
                  </pic:spPr>
                </pic:pic>
              </a:graphicData>
            </a:graphic>
            <wp14:sizeRelH relativeFrom="margin">
              <wp14:pctWidth>0</wp14:pctWidth>
            </wp14:sizeRelH>
            <wp14:sizeRelV relativeFrom="margin">
              <wp14:pctHeight>0</wp14:pctHeight>
            </wp14:sizeRelV>
          </wp:anchor>
        </w:drawing>
      </w:r>
    </w:p>
    <w:p w14:paraId="32FFE2B6" w14:textId="77777777" w:rsidR="00F22636" w:rsidRDefault="00F22636" w:rsidP="00F22636">
      <w:pPr>
        <w:tabs>
          <w:tab w:val="left" w:pos="3138"/>
        </w:tabs>
        <w:rPr>
          <w:b/>
          <w:bCs/>
          <w:sz w:val="28"/>
          <w:szCs w:val="28"/>
        </w:rPr>
      </w:pPr>
    </w:p>
    <w:p w14:paraId="1DA9286D" w14:textId="77777777" w:rsidR="00F22636" w:rsidRPr="00977A21" w:rsidRDefault="00F22636" w:rsidP="00F22636">
      <w:pPr>
        <w:tabs>
          <w:tab w:val="left" w:pos="3138"/>
        </w:tabs>
        <w:rPr>
          <w:b/>
          <w:bCs/>
          <w:sz w:val="28"/>
          <w:szCs w:val="28"/>
        </w:rPr>
      </w:pPr>
      <w:r w:rsidRPr="00977A21">
        <w:rPr>
          <w:b/>
          <w:bCs/>
          <w:noProof/>
          <w:sz w:val="28"/>
          <w:szCs w:val="28"/>
        </w:rPr>
        <mc:AlternateContent>
          <mc:Choice Requires="wps">
            <w:drawing>
              <wp:anchor distT="0" distB="0" distL="114300" distR="114300" simplePos="0" relativeHeight="251661312" behindDoc="0" locked="0" layoutInCell="1" allowOverlap="1" wp14:anchorId="5CF07603" wp14:editId="0FEC363F">
                <wp:simplePos x="0" y="0"/>
                <wp:positionH relativeFrom="margin">
                  <wp:posOffset>-146266</wp:posOffset>
                </wp:positionH>
                <wp:positionV relativeFrom="paragraph">
                  <wp:posOffset>1379999</wp:posOffset>
                </wp:positionV>
                <wp:extent cx="6635692" cy="631190"/>
                <wp:effectExtent l="0" t="0" r="13335" b="16510"/>
                <wp:wrapNone/>
                <wp:docPr id="4" name="Rectangle 3">
                  <a:extLst xmlns:a="http://schemas.openxmlformats.org/drawingml/2006/main">
                    <a:ext uri="{FF2B5EF4-FFF2-40B4-BE49-F238E27FC236}">
                      <a16:creationId xmlns:a16="http://schemas.microsoft.com/office/drawing/2014/main" id="{9FF1A52C-CBE6-34BC-9F5B-A633A154CD08}"/>
                    </a:ext>
                  </a:extLst>
                </wp:docPr>
                <wp:cNvGraphicFramePr/>
                <a:graphic xmlns:a="http://schemas.openxmlformats.org/drawingml/2006/main">
                  <a:graphicData uri="http://schemas.microsoft.com/office/word/2010/wordprocessingShape">
                    <wps:wsp>
                      <wps:cNvSpPr/>
                      <wps:spPr>
                        <a:xfrm>
                          <a:off x="0" y="0"/>
                          <a:ext cx="6635692" cy="631190"/>
                        </a:xfrm>
                        <a:prstGeom prst="rect">
                          <a:avLst/>
                        </a:prstGeom>
                        <a:noFill/>
                        <a:ln w="12700" cap="flat" cmpd="sng" algn="ctr">
                          <a:solidFill>
                            <a:srgbClr val="3F4444"/>
                          </a:solidFill>
                          <a:prstDash val="solid"/>
                          <a:miter lim="800000"/>
                        </a:ln>
                        <a:effectLst/>
                        <a:extLst>
                          <a:ext uri="{909E8E84-426E-40DD-AFC4-6F175D3DCCD1}">
                            <a14:hiddenFill xmlns:a14="http://schemas.microsoft.com/office/drawing/2010/main">
                              <a:solidFill>
                                <a:schemeClr val="accent1"/>
                              </a:solidFill>
                            </a14:hiddenFill>
                          </a:ext>
                        </a:extLst>
                      </wps:spPr>
                      <wps:style>
                        <a:lnRef idx="2">
                          <a:schemeClr val="accent1">
                            <a:shade val="50000"/>
                          </a:schemeClr>
                        </a:lnRef>
                        <a:fillRef idx="1">
                          <a:schemeClr val="accent1"/>
                        </a:fillRef>
                        <a:effectRef idx="0">
                          <a:schemeClr val="accent1"/>
                        </a:effectRef>
                        <a:fontRef idx="minor">
                          <a:schemeClr val="lt1"/>
                        </a:fontRef>
                      </wps:style>
                      <wps:txbx>
                        <w:txbxContent>
                          <w:p w14:paraId="106A3FC1" w14:textId="77777777" w:rsidR="00F22636" w:rsidRPr="00820532" w:rsidRDefault="00F22636" w:rsidP="00F22636">
                            <w:pPr>
                              <w:jc w:val="center"/>
                              <w:textAlignment w:val="baseline"/>
                              <w:rPr>
                                <w:rFonts w:hAnsi="Aptos"/>
                                <w:b/>
                                <w:bCs/>
                                <w:color w:val="333333"/>
                                <w:kern w:val="24"/>
                                <w:sz w:val="18"/>
                                <w:szCs w:val="18"/>
                                <w14:ligatures w14:val="none"/>
                              </w:rPr>
                            </w:pPr>
                            <w:r w:rsidRPr="00820532">
                              <w:rPr>
                                <w:rFonts w:hAnsi="Aptos"/>
                                <w:b/>
                                <w:bCs/>
                                <w:color w:val="333333"/>
                                <w:kern w:val="24"/>
                                <w:sz w:val="18"/>
                                <w:szCs w:val="18"/>
                              </w:rPr>
                              <w:t xml:space="preserve">Adverse events should be reported. Reporting forms and information can be found at </w:t>
                            </w:r>
                            <w:hyperlink r:id="rId8" w:history="1">
                              <w:r w:rsidRPr="00820532">
                                <w:rPr>
                                  <w:rStyle w:val="Hyperlink"/>
                                  <w:rFonts w:hAnsi="Aptos"/>
                                  <w:b/>
                                  <w:bCs/>
                                  <w:color w:val="333333"/>
                                  <w:kern w:val="24"/>
                                  <w:sz w:val="18"/>
                                  <w:szCs w:val="18"/>
                                </w:rPr>
                                <w:t>www.mhra.gov.uk/yellowcard</w:t>
                              </w:r>
                            </w:hyperlink>
                            <w:r w:rsidRPr="00820532">
                              <w:rPr>
                                <w:rFonts w:hAnsi="Aptos"/>
                                <w:b/>
                                <w:bCs/>
                                <w:color w:val="333333"/>
                                <w:kern w:val="24"/>
                                <w:sz w:val="18"/>
                                <w:szCs w:val="18"/>
                              </w:rPr>
                              <w:t xml:space="preserve"> or search for MHRA Yellow Card in the Google Play or Apple App store. Adverse events should also be reported to AstraZeneca by visiting </w:t>
                            </w:r>
                            <w:hyperlink r:id="rId9" w:history="1">
                              <w:r w:rsidRPr="00820532">
                                <w:rPr>
                                  <w:rStyle w:val="Hyperlink"/>
                                  <w:rFonts w:hAnsi="Aptos"/>
                                  <w:b/>
                                  <w:bCs/>
                                  <w:color w:val="333333"/>
                                  <w:kern w:val="24"/>
                                  <w:sz w:val="18"/>
                                  <w:szCs w:val="18"/>
                                </w:rPr>
                                <w:t>https://contactazmedical.astrazeneca.com</w:t>
                              </w:r>
                            </w:hyperlink>
                            <w:r w:rsidRPr="00820532">
                              <w:rPr>
                                <w:rFonts w:hAnsi="Aptos"/>
                                <w:b/>
                                <w:bCs/>
                                <w:color w:val="333333"/>
                                <w:kern w:val="24"/>
                                <w:sz w:val="18"/>
                                <w:szCs w:val="18"/>
                              </w:rPr>
                              <w:t xml:space="preserve"> or by calling 0800 783 0033.</w:t>
                            </w:r>
                          </w:p>
                        </w:txbxContent>
                      </wps:txbx>
                      <wps:bodyPr wrap="square" rtlCol="0" anchor="ctr"/>
                    </wps:wsp>
                  </a:graphicData>
                </a:graphic>
                <wp14:sizeRelH relativeFrom="margin">
                  <wp14:pctWidth>0</wp14:pctWidth>
                </wp14:sizeRelH>
              </wp:anchor>
            </w:drawing>
          </mc:Choice>
          <mc:Fallback>
            <w:pict>
              <v:rect w14:anchorId="5CF07603" id="Rectangle 3" o:spid="_x0000_s1026" style="position:absolute;margin-left:-11.5pt;margin-top:108.65pt;width:522.5pt;height:49.7pt;z-index:251661312;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" filled="f" fillcolor="#156082 [3204]" strokecolor="#3f4444" strokeweight="1pt">
                <v:textbox>
                  <w:txbxContent>
                    <w:p w14:paraId="106A3FC1" w14:textId="77777777" w:rsidR="00F22636" w:rsidRPr="00820532" w:rsidRDefault="00F22636" w:rsidP="00F22636">
                      <w:pPr>
                        <w:jc w:val="center"/>
                        <w:textAlignment w:val="baseline"/>
                        <w:rPr>
                          <w:rFonts w:hAnsi="Aptos"/>
                          <w:b/>
                          <w:bCs/>
                          <w:color w:val="333333"/>
                          <w:kern w:val="24"/>
                          <w:sz w:val="18"/>
                          <w:szCs w:val="18"/>
                          <w14:ligatures w14:val="none"/>
                        </w:rPr>
                      </w:pPr>
                      <w:r w:rsidRPr="00820532">
                        <w:rPr>
                          <w:rFonts w:hAnsi="Aptos"/>
                          <w:b/>
                          <w:bCs/>
                          <w:color w:val="333333"/>
                          <w:kern w:val="24"/>
                          <w:sz w:val="18"/>
                          <w:szCs w:val="18"/>
                        </w:rPr>
                        <w:t xml:space="preserve">Adverse events should be reported. Reporting forms and information can be found at </w:t>
                      </w:r>
                      <w:hyperlink r:id="rId10" w:history="1">
                        <w:r w:rsidRPr="00820532">
                          <w:rPr>
                            <w:rStyle w:val="Hyperlink"/>
                            <w:rFonts w:hAnsi="Aptos"/>
                            <w:b/>
                            <w:bCs/>
                            <w:color w:val="333333"/>
                            <w:kern w:val="24"/>
                            <w:sz w:val="18"/>
                            <w:szCs w:val="18"/>
                          </w:rPr>
                          <w:t>www.mhra.gov.uk/yellowcard</w:t>
                        </w:r>
                      </w:hyperlink>
                      <w:r w:rsidRPr="00820532">
                        <w:rPr>
                          <w:rFonts w:hAnsi="Aptos"/>
                          <w:b/>
                          <w:bCs/>
                          <w:color w:val="333333"/>
                          <w:kern w:val="24"/>
                          <w:sz w:val="18"/>
                          <w:szCs w:val="18"/>
                        </w:rPr>
                        <w:t xml:space="preserve"> or search for MHRA Yellow Card in the Google Play or Apple App store. Adverse events should also be reported to AstraZeneca by visiting </w:t>
                      </w:r>
                      <w:hyperlink r:id="rId11" w:history="1">
                        <w:r w:rsidRPr="00820532">
                          <w:rPr>
                            <w:rStyle w:val="Hyperlink"/>
                            <w:rFonts w:hAnsi="Aptos"/>
                            <w:b/>
                            <w:bCs/>
                            <w:color w:val="333333"/>
                            <w:kern w:val="24"/>
                            <w:sz w:val="18"/>
                            <w:szCs w:val="18"/>
                          </w:rPr>
                          <w:t>https://contactazmedical.astrazeneca.com</w:t>
                        </w:r>
                      </w:hyperlink>
                      <w:r w:rsidRPr="00820532">
                        <w:rPr>
                          <w:rFonts w:hAnsi="Aptos"/>
                          <w:b/>
                          <w:bCs/>
                          <w:color w:val="333333"/>
                          <w:kern w:val="24"/>
                          <w:sz w:val="18"/>
                          <w:szCs w:val="18"/>
                        </w:rPr>
                        <w:t xml:space="preserve"> or by calling 0800 783 0033.</w:t>
                      </w:r>
                    </w:p>
                  </w:txbxContent>
                </v:textbox>
                <w10:wrap anchorx="margin"/>
              </v:rect>
            </w:pict>
          </mc:Fallback>
        </mc:AlternateContent>
      </w:r>
    </w:p>
    <w:p w14:paraId="67B8853F" w14:textId="77777777" w:rsidR="00F22636" w:rsidRPr="00750465" w:rsidRDefault="00F22636" w:rsidP="00750465"/>
    <w:sectPr w:rsidR="00F22636" w:rsidRPr="00750465" w:rsidSect="00252C45">
      <w:headerReference w:type="default" r:id="rId12"/>
      <w:footerReference w:type="default" r:id="rId13"/>
      <w:pgSz w:w="11907" w:h="16839"/>
      <w:pgMar w:top="720" w:right="720" w:bottom="720" w:left="720" w:header="360" w:footer="36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EACE34" w14:textId="77777777" w:rsidR="001E2E7D" w:rsidRDefault="001E2E7D" w:rsidP="004210BF">
      <w:pPr>
        <w:spacing w:after="0" w:line="240" w:lineRule="auto"/>
      </w:pPr>
      <w:r>
        <w:separator/>
      </w:r>
    </w:p>
  </w:endnote>
  <w:endnote w:type="continuationSeparator" w:id="0">
    <w:p w14:paraId="3CF1D47C" w14:textId="77777777" w:rsidR="001E2E7D" w:rsidRDefault="001E2E7D" w:rsidP="004210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2D5B52" w14:textId="06F8446B" w:rsidR="000B589B" w:rsidRPr="000B589B" w:rsidRDefault="000B589B" w:rsidP="000B589B">
    <w:pPr>
      <w:pStyle w:val="Footer"/>
      <w:rPr>
        <w:sz w:val="22"/>
        <w:szCs w:val="22"/>
      </w:rPr>
    </w:pPr>
    <w:r w:rsidRPr="000B589B">
      <w:rPr>
        <w:noProof/>
        <w:sz w:val="22"/>
        <w:szCs w:val="22"/>
      </w:rPr>
      <w:drawing>
        <wp:anchor distT="0" distB="0" distL="114300" distR="114300" simplePos="0" relativeHeight="251658240" behindDoc="0" locked="0" layoutInCell="1" allowOverlap="1" wp14:anchorId="7F709AF2" wp14:editId="6019FD89">
          <wp:simplePos x="0" y="0"/>
          <wp:positionH relativeFrom="column">
            <wp:posOffset>5305518</wp:posOffset>
          </wp:positionH>
          <wp:positionV relativeFrom="paragraph">
            <wp:posOffset>-238737</wp:posOffset>
          </wp:positionV>
          <wp:extent cx="1404632" cy="566312"/>
          <wp:effectExtent l="0" t="0" r="5080" b="5715"/>
          <wp:wrapNone/>
          <wp:docPr id="4581571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8157143" name=""/>
                  <pic:cNvPicPr/>
                </pic:nvPicPr>
                <pic:blipFill>
                  <a:blip r:embed="rId1">
                    <a:extLst>
                      <a:ext uri="{28A0092B-C50C-407E-A947-70E740481C1C}">
                        <a14:useLocalDpi xmlns:a14="http://schemas.microsoft.com/office/drawing/2010/main" val="0"/>
                      </a:ext>
                    </a:extLst>
                  </a:blip>
                  <a:stretch>
                    <a:fillRect/>
                  </a:stretch>
                </pic:blipFill>
                <pic:spPr>
                  <a:xfrm>
                    <a:off x="0" y="0"/>
                    <a:ext cx="1404632" cy="566312"/>
                  </a:xfrm>
                  <a:prstGeom prst="rect">
                    <a:avLst/>
                  </a:prstGeom>
                </pic:spPr>
              </pic:pic>
            </a:graphicData>
          </a:graphic>
          <wp14:sizeRelH relativeFrom="margin">
            <wp14:pctWidth>0</wp14:pctWidth>
          </wp14:sizeRelH>
          <wp14:sizeRelV relativeFrom="margin">
            <wp14:pctHeight>0</wp14:pctHeight>
          </wp14:sizeRelV>
        </wp:anchor>
      </w:drawing>
    </w:r>
    <w:r w:rsidR="00141BEF" w:rsidRPr="00141BEF">
      <w:rPr>
        <w:noProof/>
        <w:sz w:val="22"/>
        <w:szCs w:val="22"/>
      </w:rPr>
      <w:t>GB-81759</w:t>
    </w:r>
    <w:r w:rsidR="00141BEF">
      <w:rPr>
        <w:noProof/>
        <w:sz w:val="22"/>
        <w:szCs w:val="22"/>
      </w:rPr>
      <w:t xml:space="preserve"> </w:t>
    </w:r>
    <w:r w:rsidRPr="000B589B">
      <w:rPr>
        <w:sz w:val="22"/>
        <w:szCs w:val="22"/>
      </w:rPr>
      <w:t xml:space="preserve">October 2026  </w:t>
    </w:r>
  </w:p>
  <w:p w14:paraId="7FF55667" w14:textId="77777777" w:rsidR="004210BF" w:rsidRDefault="004210B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E1AB37" w14:textId="77777777" w:rsidR="001E2E7D" w:rsidRDefault="001E2E7D" w:rsidP="004210BF">
      <w:pPr>
        <w:spacing w:after="0" w:line="240" w:lineRule="auto"/>
      </w:pPr>
      <w:r>
        <w:separator/>
      </w:r>
    </w:p>
  </w:footnote>
  <w:footnote w:type="continuationSeparator" w:id="0">
    <w:p w14:paraId="586404DF" w14:textId="77777777" w:rsidR="001E2E7D" w:rsidRDefault="001E2E7D" w:rsidP="004210B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5BCAD1" w14:textId="77777777" w:rsidR="00F22636" w:rsidRDefault="00F22636" w:rsidP="00F22636">
    <w:pPr>
      <w:pStyle w:val="Header"/>
      <w:jc w:val="center"/>
      <w:rPr>
        <w:rFonts w:ascii="Aptos" w:hAnsi="Aptos"/>
        <w:b/>
        <w:bCs/>
        <w:sz w:val="18"/>
        <w:szCs w:val="18"/>
      </w:rPr>
    </w:pPr>
    <w:r w:rsidRPr="00CC2FAD">
      <w:rPr>
        <w:rFonts w:ascii="Aptos" w:hAnsi="Aptos"/>
        <w:b/>
        <w:bCs/>
        <w:sz w:val="18"/>
        <w:szCs w:val="18"/>
      </w:rPr>
      <w:t>This</w:t>
    </w:r>
    <w:r>
      <w:rPr>
        <w:rFonts w:ascii="Aptos" w:hAnsi="Aptos"/>
        <w:b/>
        <w:bCs/>
        <w:sz w:val="18"/>
        <w:szCs w:val="18"/>
      </w:rPr>
      <w:t xml:space="preserve"> document</w:t>
    </w:r>
    <w:r w:rsidRPr="00CC2FAD">
      <w:rPr>
        <w:rFonts w:ascii="Aptos" w:hAnsi="Aptos"/>
        <w:b/>
        <w:bCs/>
        <w:sz w:val="18"/>
        <w:szCs w:val="18"/>
      </w:rPr>
      <w:t xml:space="preserve"> was developed by a multi-disciplinary panel of experts, comprising cardiologists, nephrologists, general practitioners, and specialist nurses, in collaboration with and funded by AstraZeneca. </w:t>
    </w:r>
  </w:p>
  <w:p w14:paraId="11809184" w14:textId="77777777" w:rsidR="00F22636" w:rsidRPr="004314BF" w:rsidRDefault="00F22636" w:rsidP="00F22636">
    <w:pPr>
      <w:pStyle w:val="Header"/>
      <w:jc w:val="center"/>
      <w:rPr>
        <w:rFonts w:ascii="Aptos" w:hAnsi="Aptos"/>
        <w:b/>
        <w:bCs/>
        <w:sz w:val="18"/>
        <w:szCs w:val="18"/>
      </w:rPr>
    </w:pPr>
    <w:r w:rsidRPr="004314BF">
      <w:rPr>
        <w:rFonts w:ascii="Aptos" w:hAnsi="Aptos"/>
        <w:b/>
        <w:bCs/>
        <w:sz w:val="18"/>
        <w:szCs w:val="18"/>
      </w:rPr>
      <w:t>This resource is intended for UK Health Care Professionals only</w:t>
    </w:r>
    <w:r>
      <w:rPr>
        <w:rFonts w:ascii="Aptos" w:hAnsi="Aptos"/>
        <w:b/>
        <w:bCs/>
        <w:sz w:val="18"/>
        <w:szCs w:val="18"/>
      </w:rPr>
      <w:t>.</w:t>
    </w:r>
  </w:p>
  <w:p w14:paraId="0C5B236A" w14:textId="77777777" w:rsidR="00F22636" w:rsidRPr="00CC2FAD" w:rsidRDefault="00F22636" w:rsidP="00F22636">
    <w:pPr>
      <w:pStyle w:val="Header"/>
      <w:jc w:val="center"/>
      <w:rPr>
        <w:rFonts w:ascii="Aptos" w:hAnsi="Aptos"/>
        <w:b/>
        <w:bCs/>
        <w:sz w:val="18"/>
        <w:szCs w:val="18"/>
      </w:rPr>
    </w:pPr>
    <w:r>
      <w:rPr>
        <w:rFonts w:ascii="Aptos" w:hAnsi="Aptos"/>
        <w:b/>
        <w:bCs/>
        <w:sz w:val="18"/>
        <w:szCs w:val="18"/>
      </w:rPr>
      <w:t>This document should not be edited except for completion of required fields.</w:t>
    </w:r>
  </w:p>
  <w:p w14:paraId="269247E0" w14:textId="7A30DE96" w:rsidR="00CC2FAD" w:rsidRPr="00F22636" w:rsidRDefault="00F22636" w:rsidP="00F22636">
    <w:pPr>
      <w:pStyle w:val="Header"/>
      <w:jc w:val="center"/>
      <w:rPr>
        <w:b/>
        <w:bCs/>
        <w:sz w:val="18"/>
        <w:szCs w:val="18"/>
      </w:rPr>
    </w:pPr>
    <w:r w:rsidRPr="00CC2FAD">
      <w:rPr>
        <w:b/>
        <w:bCs/>
        <w:sz w:val="18"/>
        <w:szCs w:val="18"/>
      </w:rPr>
      <w:t xml:space="preserve">Prescribing information </w:t>
    </w:r>
    <w:r w:rsidR="00141BEF">
      <w:rPr>
        <w:b/>
        <w:bCs/>
        <w:sz w:val="18"/>
        <w:szCs w:val="18"/>
      </w:rPr>
      <w:t xml:space="preserve">for </w:t>
    </w:r>
    <w:r w:rsidRPr="00CC2FAD">
      <w:rPr>
        <w:b/>
        <w:bCs/>
        <w:sz w:val="18"/>
        <w:szCs w:val="18"/>
      </w:rPr>
      <w:t>LOKELMA (sodium zirconium cyclosilicate)</w:t>
    </w:r>
    <w:r>
      <w:rPr>
        <w:b/>
        <w:bCs/>
        <w:sz w:val="18"/>
        <w:szCs w:val="18"/>
      </w:rPr>
      <w:t xml:space="preserve"> and adverse event reporting information can be found at the end of this document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3"/>
  <w:proofState w:spelling="clean" w:grammar="clean"/>
  <w:documentProtection w:edit="forms"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3E46"/>
    <w:rsid w:val="000B589B"/>
    <w:rsid w:val="00141BEF"/>
    <w:rsid w:val="001E2E7D"/>
    <w:rsid w:val="00252C45"/>
    <w:rsid w:val="003B3CBB"/>
    <w:rsid w:val="00411EE2"/>
    <w:rsid w:val="00412DFE"/>
    <w:rsid w:val="004210BF"/>
    <w:rsid w:val="004314BF"/>
    <w:rsid w:val="0053131E"/>
    <w:rsid w:val="00634793"/>
    <w:rsid w:val="00750465"/>
    <w:rsid w:val="007B2E79"/>
    <w:rsid w:val="00811F75"/>
    <w:rsid w:val="008122E2"/>
    <w:rsid w:val="00820532"/>
    <w:rsid w:val="008767C9"/>
    <w:rsid w:val="00A814E6"/>
    <w:rsid w:val="00AB3E46"/>
    <w:rsid w:val="00B34F6D"/>
    <w:rsid w:val="00C22509"/>
    <w:rsid w:val="00CC2FAD"/>
    <w:rsid w:val="00DA682C"/>
    <w:rsid w:val="00E52DDF"/>
    <w:rsid w:val="00E53D5C"/>
    <w:rsid w:val="00F22636"/>
    <w:rsid w:val="00F2647D"/>
    <w:rsid w:val="00FC407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5F4C4B"/>
  <w15:chartTrackingRefBased/>
  <w15:docId w15:val="{4A8DF69A-476E-487D-A840-401CBD60E2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B3E4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B3E4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B3E4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B3E4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B3E4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B3E4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B3E4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B3E4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B3E4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B3E4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B3E4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B3E4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B3E4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B3E4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B3E4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B3E4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B3E4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B3E46"/>
    <w:rPr>
      <w:rFonts w:eastAsiaTheme="majorEastAsia" w:cstheme="majorBidi"/>
      <w:color w:val="272727" w:themeColor="text1" w:themeTint="D8"/>
    </w:rPr>
  </w:style>
  <w:style w:type="paragraph" w:styleId="Title">
    <w:name w:val="Title"/>
    <w:basedOn w:val="Normal"/>
    <w:next w:val="Normal"/>
    <w:link w:val="TitleChar"/>
    <w:uiPriority w:val="10"/>
    <w:qFormat/>
    <w:rsid w:val="00AB3E4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B3E4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B3E4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B3E4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B3E46"/>
    <w:pPr>
      <w:spacing w:before="160"/>
      <w:jc w:val="center"/>
    </w:pPr>
    <w:rPr>
      <w:i/>
      <w:iCs/>
      <w:color w:val="404040" w:themeColor="text1" w:themeTint="BF"/>
    </w:rPr>
  </w:style>
  <w:style w:type="character" w:customStyle="1" w:styleId="QuoteChar">
    <w:name w:val="Quote Char"/>
    <w:basedOn w:val="DefaultParagraphFont"/>
    <w:link w:val="Quote"/>
    <w:uiPriority w:val="29"/>
    <w:rsid w:val="00AB3E46"/>
    <w:rPr>
      <w:i/>
      <w:iCs/>
      <w:color w:val="404040" w:themeColor="text1" w:themeTint="BF"/>
    </w:rPr>
  </w:style>
  <w:style w:type="paragraph" w:styleId="ListParagraph">
    <w:name w:val="List Paragraph"/>
    <w:basedOn w:val="Normal"/>
    <w:uiPriority w:val="34"/>
    <w:qFormat/>
    <w:rsid w:val="00AB3E46"/>
    <w:pPr>
      <w:ind w:left="720"/>
      <w:contextualSpacing/>
    </w:pPr>
  </w:style>
  <w:style w:type="character" w:styleId="IntenseEmphasis">
    <w:name w:val="Intense Emphasis"/>
    <w:basedOn w:val="DefaultParagraphFont"/>
    <w:uiPriority w:val="21"/>
    <w:qFormat/>
    <w:rsid w:val="00AB3E46"/>
    <w:rPr>
      <w:i/>
      <w:iCs/>
      <w:color w:val="0F4761" w:themeColor="accent1" w:themeShade="BF"/>
    </w:rPr>
  </w:style>
  <w:style w:type="paragraph" w:styleId="IntenseQuote">
    <w:name w:val="Intense Quote"/>
    <w:basedOn w:val="Normal"/>
    <w:next w:val="Normal"/>
    <w:link w:val="IntenseQuoteChar"/>
    <w:uiPriority w:val="30"/>
    <w:qFormat/>
    <w:rsid w:val="00AB3E4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B3E46"/>
    <w:rPr>
      <w:i/>
      <w:iCs/>
      <w:color w:val="0F4761" w:themeColor="accent1" w:themeShade="BF"/>
    </w:rPr>
  </w:style>
  <w:style w:type="character" w:styleId="IntenseReference">
    <w:name w:val="Intense Reference"/>
    <w:basedOn w:val="DefaultParagraphFont"/>
    <w:uiPriority w:val="32"/>
    <w:qFormat/>
    <w:rsid w:val="00AB3E46"/>
    <w:rPr>
      <w:b/>
      <w:bCs/>
      <w:smallCaps/>
      <w:color w:val="0F4761" w:themeColor="accent1" w:themeShade="BF"/>
      <w:spacing w:val="5"/>
    </w:rPr>
  </w:style>
  <w:style w:type="character" w:styleId="BookTitle">
    <w:name w:val="Book Title"/>
    <w:basedOn w:val="DefaultParagraphFont"/>
    <w:uiPriority w:val="33"/>
    <w:qFormat/>
    <w:rsid w:val="00AB3E46"/>
    <w:rPr>
      <w:b/>
      <w:bCs/>
      <w:i/>
      <w:iCs/>
      <w:spacing w:val="5"/>
    </w:rPr>
  </w:style>
  <w:style w:type="paragraph" w:styleId="Caption">
    <w:name w:val="caption"/>
    <w:basedOn w:val="Normal"/>
    <w:next w:val="Normal"/>
    <w:uiPriority w:val="35"/>
    <w:semiHidden/>
    <w:unhideWhenUsed/>
    <w:qFormat/>
    <w:rsid w:val="00AB3E46"/>
    <w:pPr>
      <w:spacing w:after="200" w:line="240" w:lineRule="auto"/>
    </w:pPr>
    <w:rPr>
      <w:i/>
      <w:iCs/>
      <w:color w:val="0E2841" w:themeColor="text2"/>
      <w:sz w:val="18"/>
      <w:szCs w:val="18"/>
    </w:rPr>
  </w:style>
  <w:style w:type="character" w:styleId="Emphasis">
    <w:name w:val="Emphasis"/>
    <w:basedOn w:val="DefaultParagraphFont"/>
    <w:uiPriority w:val="20"/>
    <w:qFormat/>
    <w:rsid w:val="00AB3E46"/>
    <w:rPr>
      <w:i/>
      <w:iCs/>
    </w:rPr>
  </w:style>
  <w:style w:type="paragraph" w:styleId="NoSpacing">
    <w:name w:val="No Spacing"/>
    <w:uiPriority w:val="1"/>
    <w:qFormat/>
    <w:rsid w:val="00AB3E46"/>
    <w:pPr>
      <w:spacing w:after="0" w:line="240" w:lineRule="auto"/>
    </w:pPr>
  </w:style>
  <w:style w:type="character" w:styleId="Strong">
    <w:name w:val="Strong"/>
    <w:basedOn w:val="DefaultParagraphFont"/>
    <w:uiPriority w:val="22"/>
    <w:qFormat/>
    <w:rsid w:val="00AB3E46"/>
    <w:rPr>
      <w:b/>
      <w:bCs/>
    </w:rPr>
  </w:style>
  <w:style w:type="character" w:styleId="SubtleEmphasis">
    <w:name w:val="Subtle Emphasis"/>
    <w:basedOn w:val="DefaultParagraphFont"/>
    <w:uiPriority w:val="19"/>
    <w:qFormat/>
    <w:rsid w:val="00AB3E46"/>
    <w:rPr>
      <w:i/>
      <w:iCs/>
      <w:color w:val="404040" w:themeColor="text1" w:themeTint="BF"/>
    </w:rPr>
  </w:style>
  <w:style w:type="character" w:styleId="SubtleReference">
    <w:name w:val="Subtle Reference"/>
    <w:basedOn w:val="DefaultParagraphFont"/>
    <w:uiPriority w:val="31"/>
    <w:qFormat/>
    <w:rsid w:val="00AB3E46"/>
    <w:rPr>
      <w:smallCaps/>
      <w:color w:val="5A5A5A" w:themeColor="text1" w:themeTint="A5"/>
    </w:rPr>
  </w:style>
  <w:style w:type="paragraph" w:styleId="TOCHeading">
    <w:name w:val="TOC Heading"/>
    <w:basedOn w:val="Heading1"/>
    <w:next w:val="Normal"/>
    <w:uiPriority w:val="39"/>
    <w:semiHidden/>
    <w:unhideWhenUsed/>
    <w:qFormat/>
    <w:rsid w:val="00AB3E46"/>
    <w:pPr>
      <w:spacing w:before="240" w:after="0"/>
      <w:outlineLvl w:val="9"/>
    </w:pPr>
    <w:rPr>
      <w:sz w:val="32"/>
      <w:szCs w:val="32"/>
    </w:rPr>
  </w:style>
  <w:style w:type="paragraph" w:styleId="NormalWeb">
    <w:name w:val="Normal (Web)"/>
    <w:basedOn w:val="Normal"/>
    <w:uiPriority w:val="99"/>
    <w:semiHidden/>
    <w:unhideWhenUsed/>
    <w:rsid w:val="004210BF"/>
    <w:pPr>
      <w:spacing w:before="100" w:beforeAutospacing="1" w:after="100" w:afterAutospacing="1" w:line="240" w:lineRule="auto"/>
    </w:pPr>
    <w:rPr>
      <w:rFonts w:ascii="Times New Roman" w:hAnsi="Times New Roman" w:cs="Times New Roman"/>
      <w:lang w:eastAsia="en-GB"/>
    </w:rPr>
  </w:style>
  <w:style w:type="table" w:styleId="GridTable4-Accent1">
    <w:name w:val="Grid Table 4 Accent 1"/>
    <w:basedOn w:val="TableNormal"/>
    <w:uiPriority w:val="49"/>
    <w:rsid w:val="004210BF"/>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PlainTable1">
    <w:name w:val="Plain Table 1"/>
    <w:basedOn w:val="TableNormal"/>
    <w:uiPriority w:val="41"/>
    <w:rsid w:val="004210BF"/>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Grid">
    <w:name w:val="Table Grid"/>
    <w:basedOn w:val="TableNormal"/>
    <w:uiPriority w:val="39"/>
    <w:rsid w:val="004210B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4210BF"/>
    <w:pPr>
      <w:tabs>
        <w:tab w:val="center" w:pos="4513"/>
        <w:tab w:val="right" w:pos="9026"/>
      </w:tabs>
      <w:spacing w:after="0" w:line="240" w:lineRule="auto"/>
    </w:pPr>
  </w:style>
  <w:style w:type="character" w:customStyle="1" w:styleId="HeaderChar">
    <w:name w:val="Header Char"/>
    <w:basedOn w:val="DefaultParagraphFont"/>
    <w:link w:val="Header"/>
    <w:uiPriority w:val="99"/>
    <w:rsid w:val="004210BF"/>
  </w:style>
  <w:style w:type="paragraph" w:styleId="Footer">
    <w:name w:val="footer"/>
    <w:basedOn w:val="Normal"/>
    <w:link w:val="FooterChar"/>
    <w:uiPriority w:val="99"/>
    <w:unhideWhenUsed/>
    <w:rsid w:val="004210BF"/>
    <w:pPr>
      <w:tabs>
        <w:tab w:val="center" w:pos="4513"/>
        <w:tab w:val="right" w:pos="9026"/>
      </w:tabs>
      <w:spacing w:after="0" w:line="240" w:lineRule="auto"/>
    </w:pPr>
  </w:style>
  <w:style w:type="character" w:customStyle="1" w:styleId="FooterChar">
    <w:name w:val="Footer Char"/>
    <w:basedOn w:val="DefaultParagraphFont"/>
    <w:link w:val="Footer"/>
    <w:uiPriority w:val="99"/>
    <w:rsid w:val="004210BF"/>
  </w:style>
  <w:style w:type="character" w:styleId="Hyperlink">
    <w:name w:val="Hyperlink"/>
    <w:basedOn w:val="DefaultParagraphFont"/>
    <w:uiPriority w:val="99"/>
    <w:unhideWhenUsed/>
    <w:rsid w:val="00CC2FAD"/>
    <w:rPr>
      <w:color w:val="467886" w:themeColor="hyperlink"/>
      <w:u w:val="single"/>
    </w:rPr>
  </w:style>
  <w:style w:type="character" w:styleId="UnresolvedMention">
    <w:name w:val="Unresolved Mention"/>
    <w:basedOn w:val="DefaultParagraphFont"/>
    <w:uiPriority w:val="99"/>
    <w:semiHidden/>
    <w:unhideWhenUsed/>
    <w:rsid w:val="00CC2FA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hra.gov.uk/yellowcard" TargetMode="External"/><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image" Target="media/image1.png"/><Relationship Id="rId12"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medicines.astrazeneca.co.uk/content/dam/multibrand/uk/en/prescribinginformation/lokelma-pi.pdf" TargetMode="External"/><Relationship Id="rId11" Type="http://schemas.openxmlformats.org/officeDocument/2006/relationships/hyperlink" Target="https://contactazmedical.astrazeneca.com/" TargetMode="Externa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hyperlink" Target="http://www.mhra.gov.uk/yellowcard" TargetMode="External"/><Relationship Id="rId4" Type="http://schemas.openxmlformats.org/officeDocument/2006/relationships/footnotes" Target="footnotes.xml"/><Relationship Id="rId9" Type="http://schemas.openxmlformats.org/officeDocument/2006/relationships/hyperlink" Target="https://contactazmedical.astrazeneca.com/" TargetMode="Externa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1188</Words>
  <Characters>7809</Characters>
  <Application>Microsoft Office Word</Application>
  <DocSecurity>0</DocSecurity>
  <Lines>166</Lines>
  <Paragraphs>121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Bennett Ortega, Paula</dc:creator>
  <cp:keywords/>
  <dc:description/>
  <cp:lastModifiedBy>Bennett Ortega, Paula</cp:lastModifiedBy>
  <cp:revision>2</cp:revision>
  <dcterms:created xsi:type="dcterms:W3CDTF">2026-10-16T14:50:00Z</dcterms:created>
  <dcterms:modified xsi:type="dcterms:W3CDTF">2026-10-16T14:50:00Z</dcterms:modified>
</cp:coreProperties>
</file>