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95E0E" w14:textId="77777777" w:rsidR="00412DFE" w:rsidRDefault="00412DFE" w:rsidP="00CC0F31">
      <w:pPr>
        <w:spacing w:after="80"/>
        <w:jc w:val="both"/>
        <w:rPr>
          <w:sz w:val="8"/>
          <w:szCs w:val="8"/>
          <w:lang w:eastAsia="en-GB"/>
        </w:rPr>
      </w:pPr>
    </w:p>
    <w:tbl>
      <w:tblPr>
        <w:tblStyle w:val="GridTable4-Accent1"/>
        <w:tblW w:w="5000" w:type="pct"/>
        <w:shd w:val="clear" w:color="auto" w:fill="7EAAF0"/>
        <w:tblLook w:val="04A0" w:firstRow="1" w:lastRow="0" w:firstColumn="1" w:lastColumn="0" w:noHBand="0" w:noVBand="1"/>
      </w:tblPr>
      <w:tblGrid>
        <w:gridCol w:w="10467"/>
      </w:tblGrid>
      <w:tr w:rsidR="003B3CBB" w14:paraId="3A09268D" w14:textId="77777777" w:rsidTr="00811F75">
        <w:trPr>
          <w:cnfStyle w:val="100000000000" w:firstRow="1" w:lastRow="0" w:firstColumn="0" w:lastColumn="0" w:oddVBand="0" w:evenVBand="0" w:oddHBand="0" w:evenHBand="0" w:firstRowFirstColumn="0" w:firstRowLastColumn="0" w:lastRowFirstColumn="0" w:lastRowLastColumn="0"/>
          <w:trHeight w:val="1271"/>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7EAAF0"/>
            <w:hideMark/>
          </w:tcPr>
          <w:p w14:paraId="296EE6AD" w14:textId="77777777" w:rsidR="003B3CBB" w:rsidRDefault="003B3CBB">
            <w:pPr>
              <w:spacing w:after="40"/>
              <w:jc w:val="center"/>
              <w:rPr>
                <w:lang w:eastAsia="en-GB"/>
              </w:rPr>
            </w:pPr>
            <w:r>
              <w:rPr>
                <w:sz w:val="36"/>
                <w:szCs w:val="36"/>
              </w:rPr>
              <w:t xml:space="preserve">  Transfer of care letter for an individual with cardiorenal disease on RAASi* therapy with hyperkalaemia</w:t>
            </w:r>
          </w:p>
          <w:p w14:paraId="1E944AE0" w14:textId="77777777" w:rsidR="003B3CBB" w:rsidRDefault="003B3CBB">
            <w:pPr>
              <w:jc w:val="center"/>
            </w:pPr>
            <w:r>
              <w:rPr>
                <w:sz w:val="22"/>
                <w:szCs w:val="22"/>
              </w:rPr>
              <w:t>(out-patient secondary care to primary care)</w:t>
            </w:r>
          </w:p>
        </w:tc>
      </w:tr>
    </w:tbl>
    <w:p w14:paraId="2990E552" w14:textId="77777777" w:rsidR="004210BF" w:rsidRDefault="004210BF">
      <w:pPr>
        <w:rPr>
          <w:lang w:eastAsia="en-GB"/>
        </w:rPr>
      </w:pPr>
    </w:p>
    <w:tbl>
      <w:tblPr>
        <w:tblStyle w:val="GridTable4-Accent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B000"/>
        <w:tblLook w:val="04A0" w:firstRow="1" w:lastRow="0" w:firstColumn="1" w:lastColumn="0" w:noHBand="0" w:noVBand="1"/>
      </w:tblPr>
      <w:tblGrid>
        <w:gridCol w:w="10467"/>
      </w:tblGrid>
      <w:tr w:rsidR="003B3CBB" w14:paraId="09195061" w14:textId="77777777" w:rsidTr="00811F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FFB000"/>
            <w:hideMark/>
          </w:tcPr>
          <w:p w14:paraId="5AC66B90" w14:textId="77777777" w:rsidR="003B3CBB" w:rsidRDefault="003B3CBB">
            <w:pPr>
              <w:jc w:val="center"/>
              <w:rPr>
                <w:lang w:eastAsia="en-GB"/>
              </w:rPr>
            </w:pPr>
            <w:r>
              <w:t>Two key aims:</w:t>
            </w:r>
          </w:p>
        </w:tc>
      </w:tr>
    </w:tbl>
    <w:tbl>
      <w:tblPr>
        <w:tblStyle w:val="PlainTable1"/>
        <w:tblpPr w:leftFromText="180" w:rightFromText="180" w:vertAnchor="text" w:horzAnchor="margin" w:tblpY="7"/>
        <w:tblW w:w="5000" w:type="pct"/>
        <w:tblLook w:val="04A0" w:firstRow="1" w:lastRow="0" w:firstColumn="1" w:lastColumn="0" w:noHBand="0" w:noVBand="1"/>
      </w:tblPr>
      <w:tblGrid>
        <w:gridCol w:w="1254"/>
        <w:gridCol w:w="3974"/>
        <w:gridCol w:w="1255"/>
        <w:gridCol w:w="3974"/>
      </w:tblGrid>
      <w:tr w:rsidR="000E0E37" w14:paraId="33C463FC" w14:textId="77777777" w:rsidTr="000E0E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0" w:type="pct"/>
            <w:hideMark/>
          </w:tcPr>
          <w:p w14:paraId="2A1A815A" w14:textId="77777777" w:rsidR="000E0E37" w:rsidRDefault="000E0E37" w:rsidP="000E0E37">
            <w:pPr>
              <w:rPr>
                <w:lang w:eastAsia="en-GB"/>
              </w:rPr>
            </w:pPr>
            <w:r>
              <w:rPr>
                <w:color w:val="A9C8F8"/>
                <w:sz w:val="84"/>
                <w:szCs w:val="84"/>
              </w:rPr>
              <w:t>1</w:t>
            </w:r>
          </w:p>
        </w:tc>
        <w:tc>
          <w:tcPr>
            <w:tcW w:w="1900" w:type="pct"/>
            <w:hideMark/>
          </w:tcPr>
          <w:p w14:paraId="55E11B68" w14:textId="77777777" w:rsidR="000E0E37" w:rsidRDefault="000E0E37" w:rsidP="000E0E37">
            <w:pPr>
              <w:cnfStyle w:val="100000000000" w:firstRow="1" w:lastRow="0" w:firstColumn="0" w:lastColumn="0" w:oddVBand="0" w:evenVBand="0" w:oddHBand="0" w:evenHBand="0" w:firstRowFirstColumn="0" w:firstRowLastColumn="0" w:lastRowFirstColumn="0" w:lastRowLastColumn="0"/>
            </w:pPr>
            <w:r>
              <w:rPr>
                <w:sz w:val="18"/>
                <w:szCs w:val="18"/>
              </w:rPr>
              <w:t>The optimisation of RAASi therapies for cardiorenal protection</w:t>
            </w:r>
          </w:p>
        </w:tc>
        <w:tc>
          <w:tcPr>
            <w:tcW w:w="600" w:type="pct"/>
            <w:hideMark/>
          </w:tcPr>
          <w:p w14:paraId="37E54A16" w14:textId="77777777" w:rsidR="000E0E37" w:rsidRDefault="000E0E37" w:rsidP="000E0E37">
            <w:pPr>
              <w:cnfStyle w:val="100000000000" w:firstRow="1" w:lastRow="0" w:firstColumn="0" w:lastColumn="0" w:oddVBand="0" w:evenVBand="0" w:oddHBand="0" w:evenHBand="0" w:firstRowFirstColumn="0" w:firstRowLastColumn="0" w:lastRowFirstColumn="0" w:lastRowLastColumn="0"/>
            </w:pPr>
            <w:r>
              <w:rPr>
                <w:color w:val="A9C8F8"/>
                <w:sz w:val="84"/>
                <w:szCs w:val="84"/>
              </w:rPr>
              <w:t>2</w:t>
            </w:r>
          </w:p>
        </w:tc>
        <w:tc>
          <w:tcPr>
            <w:tcW w:w="1900" w:type="pct"/>
            <w:hideMark/>
          </w:tcPr>
          <w:p w14:paraId="7257F7A5" w14:textId="77777777" w:rsidR="000E0E37" w:rsidRDefault="000E0E37" w:rsidP="000E0E37">
            <w:pPr>
              <w:cnfStyle w:val="100000000000" w:firstRow="1" w:lastRow="0" w:firstColumn="0" w:lastColumn="0" w:oddVBand="0" w:evenVBand="0" w:oddHBand="0" w:evenHBand="0" w:firstRowFirstColumn="0" w:firstRowLastColumn="0" w:lastRowFirstColumn="0" w:lastRowLastColumn="0"/>
            </w:pPr>
            <w:r>
              <w:rPr>
                <w:sz w:val="18"/>
                <w:szCs w:val="18"/>
              </w:rPr>
              <w:t>The prevention and management of hyperkalaemia</w:t>
            </w:r>
          </w:p>
        </w:tc>
      </w:tr>
    </w:tbl>
    <w:p w14:paraId="03754720" w14:textId="53E8BDD2" w:rsidR="004210BF" w:rsidRDefault="005F2350">
      <w:pPr>
        <w:rPr>
          <w:lang w:eastAsia="en-GB"/>
        </w:rPr>
      </w:pPr>
      <w:r>
        <w:rPr>
          <w:lang w:eastAsia="en-GB"/>
        </w:rPr>
        <w:t xml:space="preserve">    </w:t>
      </w:r>
    </w:p>
    <w:p w14:paraId="1C29D367" w14:textId="77777777" w:rsidR="003B3CBB" w:rsidRDefault="003B3CBB">
      <w:pPr>
        <w:rPr>
          <w:lang w:eastAsia="en-GB"/>
        </w:rPr>
      </w:pPr>
      <w:r>
        <w:rPr>
          <w:b/>
          <w:bCs/>
          <w:sz w:val="20"/>
          <w:szCs w:val="20"/>
        </w:rPr>
        <w:t>Dear GP,</w:t>
      </w:r>
      <w:r>
        <w:rPr>
          <w:b/>
          <w:bCs/>
          <w:sz w:val="20"/>
          <w:szCs w:val="20"/>
        </w:rPr>
        <w:br/>
        <w:t>Please find below a transfer of care letter from [specialist name and speciality].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3A3"/>
        <w:tblLook w:val="04A0" w:firstRow="1" w:lastRow="0" w:firstColumn="1" w:lastColumn="0" w:noHBand="0" w:noVBand="1"/>
      </w:tblPr>
      <w:tblGrid>
        <w:gridCol w:w="10451"/>
      </w:tblGrid>
      <w:tr w:rsidR="003B3CBB" w14:paraId="697F19BD" w14:textId="77777777">
        <w:trPr>
          <w:trHeight w:val="900"/>
        </w:trPr>
        <w:tc>
          <w:tcPr>
            <w:tcW w:w="0" w:type="auto"/>
            <w:tcBorders>
              <w:top w:val="single" w:sz="6" w:space="0" w:color="FFB000"/>
              <w:left w:val="single" w:sz="6" w:space="0" w:color="FFB000"/>
              <w:bottom w:val="single" w:sz="6" w:space="0" w:color="FFB000"/>
              <w:right w:val="single" w:sz="6" w:space="0" w:color="FFB000"/>
            </w:tcBorders>
            <w:shd w:val="clear" w:color="auto" w:fill="FFE3A3"/>
            <w:tcMar>
              <w:top w:w="40" w:type="dxa"/>
              <w:left w:w="140" w:type="dxa"/>
              <w:bottom w:w="40" w:type="dxa"/>
              <w:right w:w="140" w:type="dxa"/>
            </w:tcMar>
            <w:vAlign w:val="center"/>
            <w:hideMark/>
          </w:tcPr>
          <w:p w14:paraId="3AB28908" w14:textId="77777777" w:rsidR="003B3CBB" w:rsidRDefault="003B3CBB">
            <w:pPr>
              <w:spacing w:after="80"/>
              <w:rPr>
                <w:lang w:eastAsia="en-GB"/>
              </w:rPr>
            </w:pPr>
            <w:r>
              <w:rPr>
                <w:b/>
                <w:bCs/>
                <w:color w:val="000000"/>
                <w:sz w:val="16"/>
                <w:szCs w:val="16"/>
              </w:rPr>
              <w:t>Patient details</w:t>
            </w:r>
            <w:r>
              <w:rPr>
                <w:color w:val="000000"/>
                <w:sz w:val="16"/>
                <w:szCs w:val="16"/>
              </w:rPr>
              <w:t xml:space="preserve"> Name: ________________________________   Date of birth: __________   Address: ____________________</w:t>
            </w:r>
          </w:p>
          <w:p w14:paraId="6E3FD557" w14:textId="77777777" w:rsidR="003B3CBB" w:rsidRDefault="003B3CBB">
            <w:pPr>
              <w:spacing w:after="80"/>
            </w:pPr>
            <w:r>
              <w:rPr>
                <w:b/>
                <w:bCs/>
                <w:color w:val="000000"/>
                <w:sz w:val="16"/>
                <w:szCs w:val="16"/>
              </w:rPr>
              <w:t>GP details</w:t>
            </w:r>
            <w:r>
              <w:rPr>
                <w:color w:val="000000"/>
                <w:sz w:val="16"/>
                <w:szCs w:val="16"/>
              </w:rPr>
              <w:t xml:space="preserve"> Name: ____________________   Clinic address: __________________________________________</w:t>
            </w:r>
          </w:p>
          <w:p w14:paraId="21E857DA" w14:textId="77777777" w:rsidR="003B3CBB" w:rsidRDefault="003B3CBB">
            <w:r>
              <w:rPr>
                <w:b/>
                <w:bCs/>
                <w:color w:val="000000"/>
                <w:sz w:val="16"/>
                <w:szCs w:val="16"/>
              </w:rPr>
              <w:t>Specialist details</w:t>
            </w:r>
            <w:r>
              <w:rPr>
                <w:color w:val="000000"/>
                <w:sz w:val="16"/>
                <w:szCs w:val="16"/>
              </w:rPr>
              <w:t xml:space="preserve"> Name: ____________________   Contact details: ____________________________________</w:t>
            </w:r>
          </w:p>
        </w:tc>
      </w:tr>
    </w:tbl>
    <w:p w14:paraId="4F4219C8" w14:textId="77777777" w:rsidR="0053131E" w:rsidRDefault="0053131E">
      <w:pPr>
        <w:spacing w:after="60"/>
        <w:rPr>
          <w:sz w:val="6"/>
          <w:szCs w:val="6"/>
          <w:lang w:eastAsia="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3A3"/>
        <w:tblLook w:val="04A0" w:firstRow="1" w:lastRow="0" w:firstColumn="1" w:lastColumn="0" w:noHBand="0" w:noVBand="1"/>
      </w:tblPr>
      <w:tblGrid>
        <w:gridCol w:w="5016"/>
        <w:gridCol w:w="5435"/>
      </w:tblGrid>
      <w:tr w:rsidR="003B3CBB" w14:paraId="120854A8" w14:textId="77777777">
        <w:trPr>
          <w:trHeight w:val="320"/>
        </w:trPr>
        <w:tc>
          <w:tcPr>
            <w:tcW w:w="0" w:type="auto"/>
            <w:gridSpan w:val="2"/>
            <w:tcBorders>
              <w:top w:val="single" w:sz="6" w:space="0" w:color="FFB000"/>
              <w:left w:val="single" w:sz="6" w:space="0" w:color="FFB000"/>
              <w:bottom w:val="single" w:sz="6" w:space="0" w:color="FFB000"/>
              <w:right w:val="single" w:sz="6" w:space="0" w:color="FFB000"/>
            </w:tcBorders>
            <w:shd w:val="clear" w:color="auto" w:fill="FFE3A3"/>
            <w:tcMar>
              <w:top w:w="40" w:type="dxa"/>
              <w:left w:w="140" w:type="dxa"/>
              <w:bottom w:w="40" w:type="dxa"/>
              <w:right w:w="140" w:type="dxa"/>
            </w:tcMar>
            <w:vAlign w:val="center"/>
            <w:hideMark/>
          </w:tcPr>
          <w:p w14:paraId="5824ACDC" w14:textId="77777777" w:rsidR="003B3CBB" w:rsidRDefault="003B3CBB">
            <w:pPr>
              <w:spacing w:after="20"/>
              <w:rPr>
                <w:lang w:eastAsia="en-GB"/>
              </w:rPr>
            </w:pPr>
            <w:r>
              <w:rPr>
                <w:b/>
                <w:bCs/>
                <w:color w:val="000000"/>
                <w:sz w:val="20"/>
                <w:szCs w:val="20"/>
              </w:rPr>
              <w:t>Past-medical history</w:t>
            </w:r>
          </w:p>
        </w:tc>
      </w:tr>
      <w:tr w:rsidR="003B3CBB" w14:paraId="183CEB11" w14:textId="77777777">
        <w:trPr>
          <w:trHeight w:val="280"/>
        </w:trPr>
        <w:tc>
          <w:tcPr>
            <w:tcW w:w="2400" w:type="pct"/>
            <w:tcBorders>
              <w:top w:val="single" w:sz="6" w:space="0" w:color="FFB000"/>
              <w:left w:val="single" w:sz="6" w:space="0" w:color="FFB000"/>
              <w:bottom w:val="single" w:sz="6" w:space="0" w:color="FFB000"/>
              <w:right w:val="single" w:sz="6" w:space="0" w:color="FFB000"/>
            </w:tcBorders>
            <w:shd w:val="clear" w:color="auto" w:fill="FFE3A3"/>
            <w:tcMar>
              <w:top w:w="20" w:type="dxa"/>
              <w:left w:w="140" w:type="dxa"/>
              <w:bottom w:w="20" w:type="dxa"/>
              <w:right w:w="140" w:type="dxa"/>
            </w:tcMar>
            <w:vAlign w:val="center"/>
            <w:hideMark/>
          </w:tcPr>
          <w:p w14:paraId="64A4779D" w14:textId="77777777" w:rsidR="003B3CBB" w:rsidRDefault="003B3CBB">
            <w:r>
              <w:rPr>
                <w:color w:val="000000"/>
                <w:sz w:val="16"/>
                <w:szCs w:val="16"/>
              </w:rPr>
              <w:t>Condition</w:t>
            </w:r>
          </w:p>
        </w:tc>
        <w:tc>
          <w:tcPr>
            <w:tcW w:w="2600" w:type="pct"/>
            <w:tcBorders>
              <w:top w:val="single" w:sz="6" w:space="0" w:color="FFB000"/>
              <w:left w:val="single" w:sz="6" w:space="0" w:color="FFB000"/>
              <w:bottom w:val="single" w:sz="6" w:space="0" w:color="FFB000"/>
              <w:right w:val="single" w:sz="6" w:space="0" w:color="FFB000"/>
            </w:tcBorders>
            <w:shd w:val="clear" w:color="auto" w:fill="FFE3A3"/>
            <w:tcMar>
              <w:top w:w="20" w:type="dxa"/>
              <w:left w:w="140" w:type="dxa"/>
              <w:bottom w:w="20" w:type="dxa"/>
              <w:right w:w="140" w:type="dxa"/>
            </w:tcMar>
            <w:vAlign w:val="center"/>
            <w:hideMark/>
          </w:tcPr>
          <w:p w14:paraId="148D9FEC" w14:textId="77777777" w:rsidR="003B3CBB" w:rsidRDefault="003B3CBB">
            <w:r>
              <w:rPr>
                <w:color w:val="000000"/>
                <w:sz w:val="16"/>
                <w:szCs w:val="16"/>
              </w:rPr>
              <w:t>Date of diagnosis</w:t>
            </w:r>
          </w:p>
        </w:tc>
      </w:tr>
      <w:tr w:rsidR="003B3CBB" w14:paraId="33951EA6" w14:textId="77777777">
        <w:trPr>
          <w:trHeight w:val="520"/>
        </w:trPr>
        <w:tc>
          <w:tcPr>
            <w:tcW w:w="0" w:type="auto"/>
            <w:tcBorders>
              <w:top w:val="single" w:sz="6" w:space="0" w:color="FFB000"/>
              <w:left w:val="single" w:sz="6" w:space="0" w:color="FFB000"/>
              <w:bottom w:val="single" w:sz="6" w:space="0" w:color="FFB000"/>
              <w:right w:val="single" w:sz="6" w:space="0" w:color="FFB000"/>
            </w:tcBorders>
            <w:shd w:val="clear" w:color="auto" w:fill="FFE3A3"/>
            <w:tcMar>
              <w:top w:w="40" w:type="dxa"/>
              <w:left w:w="140" w:type="dxa"/>
              <w:bottom w:w="40" w:type="dxa"/>
              <w:right w:w="140" w:type="dxa"/>
            </w:tcMar>
            <w:vAlign w:val="center"/>
            <w:hideMark/>
          </w:tcPr>
          <w:p w14:paraId="7412A5D7" w14:textId="77777777" w:rsidR="003B3CBB" w:rsidRDefault="003B3CBB">
            <w:r>
              <w:rPr>
                <w:color w:val="000000"/>
                <w:sz w:val="16"/>
                <w:szCs w:val="16"/>
              </w:rPr>
              <w:t>Note cardiorenal diagnoses and all salient health issues</w:t>
            </w:r>
          </w:p>
        </w:tc>
        <w:tc>
          <w:tcPr>
            <w:tcW w:w="0" w:type="auto"/>
            <w:tcBorders>
              <w:top w:val="single" w:sz="6" w:space="0" w:color="FFB000"/>
              <w:left w:val="single" w:sz="6" w:space="0" w:color="FFB000"/>
              <w:bottom w:val="single" w:sz="6" w:space="0" w:color="FFB000"/>
              <w:right w:val="single" w:sz="6" w:space="0" w:color="FFB000"/>
            </w:tcBorders>
            <w:shd w:val="clear" w:color="auto" w:fill="FFE3A3"/>
            <w:tcMar>
              <w:top w:w="40" w:type="dxa"/>
              <w:left w:w="140" w:type="dxa"/>
              <w:bottom w:w="40" w:type="dxa"/>
              <w:right w:w="140" w:type="dxa"/>
            </w:tcMar>
            <w:vAlign w:val="center"/>
            <w:hideMark/>
          </w:tcPr>
          <w:p w14:paraId="0A7131EE" w14:textId="77777777" w:rsidR="003B3CBB" w:rsidRDefault="003B3CBB">
            <w:r>
              <w:rPr>
                <w:color w:val="000000"/>
                <w:sz w:val="16"/>
                <w:szCs w:val="16"/>
              </w:rPr>
              <w:t>________________________________________</w:t>
            </w:r>
          </w:p>
        </w:tc>
      </w:tr>
    </w:tbl>
    <w:p w14:paraId="589622DF" w14:textId="77777777" w:rsidR="0053131E" w:rsidRDefault="0053131E">
      <w:pPr>
        <w:spacing w:after="60"/>
        <w:rPr>
          <w:sz w:val="6"/>
          <w:szCs w:val="6"/>
          <w:lang w:eastAsia="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3A3"/>
        <w:tblLook w:val="04A0" w:firstRow="1" w:lastRow="0" w:firstColumn="1" w:lastColumn="0" w:noHBand="0" w:noVBand="1"/>
      </w:tblPr>
      <w:tblGrid>
        <w:gridCol w:w="3972"/>
        <w:gridCol w:w="2090"/>
        <w:gridCol w:w="2090"/>
        <w:gridCol w:w="2299"/>
      </w:tblGrid>
      <w:tr w:rsidR="003B3CBB" w14:paraId="7E23F29F" w14:textId="77777777">
        <w:trPr>
          <w:trHeight w:val="320"/>
        </w:trPr>
        <w:tc>
          <w:tcPr>
            <w:tcW w:w="0" w:type="auto"/>
            <w:gridSpan w:val="4"/>
            <w:tcBorders>
              <w:top w:val="single" w:sz="6" w:space="0" w:color="FFB000"/>
              <w:left w:val="single" w:sz="6" w:space="0" w:color="FFB000"/>
              <w:bottom w:val="single" w:sz="6" w:space="0" w:color="FFB000"/>
              <w:right w:val="single" w:sz="6" w:space="0" w:color="FFB000"/>
            </w:tcBorders>
            <w:shd w:val="clear" w:color="auto" w:fill="FFE3A3"/>
            <w:tcMar>
              <w:top w:w="40" w:type="dxa"/>
              <w:left w:w="140" w:type="dxa"/>
              <w:bottom w:w="40" w:type="dxa"/>
              <w:right w:w="140" w:type="dxa"/>
            </w:tcMar>
            <w:vAlign w:val="center"/>
            <w:hideMark/>
          </w:tcPr>
          <w:p w14:paraId="5F092D83" w14:textId="77777777" w:rsidR="003B3CBB" w:rsidRDefault="003B3CBB">
            <w:pPr>
              <w:spacing w:after="20"/>
              <w:rPr>
                <w:lang w:eastAsia="en-GB"/>
              </w:rPr>
            </w:pPr>
            <w:r>
              <w:rPr>
                <w:b/>
                <w:bCs/>
                <w:color w:val="000000"/>
                <w:sz w:val="20"/>
                <w:szCs w:val="20"/>
              </w:rPr>
              <w:t>Medication list</w:t>
            </w:r>
          </w:p>
        </w:tc>
      </w:tr>
      <w:tr w:rsidR="003B3CBB" w14:paraId="41940A57" w14:textId="77777777">
        <w:trPr>
          <w:trHeight w:val="280"/>
        </w:trPr>
        <w:tc>
          <w:tcPr>
            <w:tcW w:w="1900" w:type="pct"/>
            <w:tcBorders>
              <w:top w:val="single" w:sz="6" w:space="0" w:color="FFB000"/>
              <w:left w:val="single" w:sz="6" w:space="0" w:color="FFB000"/>
              <w:bottom w:val="single" w:sz="6" w:space="0" w:color="FFB000"/>
              <w:right w:val="single" w:sz="6" w:space="0" w:color="FFB000"/>
            </w:tcBorders>
            <w:shd w:val="clear" w:color="auto" w:fill="FFE3A3"/>
            <w:tcMar>
              <w:top w:w="20" w:type="dxa"/>
              <w:left w:w="140" w:type="dxa"/>
              <w:bottom w:w="20" w:type="dxa"/>
              <w:right w:w="140" w:type="dxa"/>
            </w:tcMar>
            <w:vAlign w:val="center"/>
            <w:hideMark/>
          </w:tcPr>
          <w:p w14:paraId="441FBD84" w14:textId="77777777" w:rsidR="003B3CBB" w:rsidRDefault="003B3CBB">
            <w:r>
              <w:rPr>
                <w:color w:val="000000"/>
                <w:sz w:val="16"/>
                <w:szCs w:val="16"/>
              </w:rPr>
              <w:t>Medication</w:t>
            </w:r>
          </w:p>
        </w:tc>
        <w:tc>
          <w:tcPr>
            <w:tcW w:w="1000" w:type="pct"/>
            <w:tcBorders>
              <w:top w:val="single" w:sz="6" w:space="0" w:color="FFB000"/>
              <w:left w:val="single" w:sz="6" w:space="0" w:color="FFB000"/>
              <w:bottom w:val="single" w:sz="6" w:space="0" w:color="FFB000"/>
              <w:right w:val="single" w:sz="6" w:space="0" w:color="FFB000"/>
            </w:tcBorders>
            <w:shd w:val="clear" w:color="auto" w:fill="FFE3A3"/>
            <w:tcMar>
              <w:top w:w="20" w:type="dxa"/>
              <w:left w:w="100" w:type="dxa"/>
              <w:bottom w:w="20" w:type="dxa"/>
              <w:right w:w="100" w:type="dxa"/>
            </w:tcMar>
            <w:vAlign w:val="center"/>
            <w:hideMark/>
          </w:tcPr>
          <w:p w14:paraId="10B63F42" w14:textId="77777777" w:rsidR="003B3CBB" w:rsidRDefault="003B3CBB">
            <w:r>
              <w:rPr>
                <w:color w:val="000000"/>
                <w:sz w:val="16"/>
                <w:szCs w:val="16"/>
              </w:rPr>
              <w:t>Indication</w:t>
            </w:r>
          </w:p>
        </w:tc>
        <w:tc>
          <w:tcPr>
            <w:tcW w:w="1000" w:type="pct"/>
            <w:tcBorders>
              <w:top w:val="single" w:sz="6" w:space="0" w:color="FFB000"/>
              <w:left w:val="single" w:sz="6" w:space="0" w:color="FFB000"/>
              <w:bottom w:val="single" w:sz="6" w:space="0" w:color="FFB000"/>
              <w:right w:val="single" w:sz="6" w:space="0" w:color="FFB000"/>
            </w:tcBorders>
            <w:shd w:val="clear" w:color="auto" w:fill="FFE3A3"/>
            <w:tcMar>
              <w:top w:w="20" w:type="dxa"/>
              <w:left w:w="100" w:type="dxa"/>
              <w:bottom w:w="20" w:type="dxa"/>
              <w:right w:w="100" w:type="dxa"/>
            </w:tcMar>
            <w:vAlign w:val="center"/>
            <w:hideMark/>
          </w:tcPr>
          <w:p w14:paraId="3AA57356" w14:textId="77777777" w:rsidR="003B3CBB" w:rsidRDefault="003B3CBB">
            <w:r>
              <w:rPr>
                <w:color w:val="000000"/>
                <w:sz w:val="16"/>
                <w:szCs w:val="16"/>
              </w:rPr>
              <w:t>Dose</w:t>
            </w:r>
          </w:p>
        </w:tc>
        <w:tc>
          <w:tcPr>
            <w:tcW w:w="1100" w:type="pct"/>
            <w:tcBorders>
              <w:top w:val="single" w:sz="6" w:space="0" w:color="FFB000"/>
              <w:left w:val="single" w:sz="6" w:space="0" w:color="FFB000"/>
              <w:bottom w:val="single" w:sz="6" w:space="0" w:color="FFB000"/>
              <w:right w:val="single" w:sz="6" w:space="0" w:color="FFB000"/>
            </w:tcBorders>
            <w:shd w:val="clear" w:color="auto" w:fill="FFE3A3"/>
            <w:tcMar>
              <w:top w:w="20" w:type="dxa"/>
              <w:left w:w="100" w:type="dxa"/>
              <w:bottom w:w="20" w:type="dxa"/>
              <w:right w:w="100" w:type="dxa"/>
            </w:tcMar>
            <w:vAlign w:val="center"/>
            <w:hideMark/>
          </w:tcPr>
          <w:p w14:paraId="78467218" w14:textId="77777777" w:rsidR="003B3CBB" w:rsidRDefault="003B3CBB">
            <w:r>
              <w:rPr>
                <w:color w:val="000000"/>
                <w:sz w:val="16"/>
                <w:szCs w:val="16"/>
              </w:rPr>
              <w:t>Intended duration</w:t>
            </w:r>
          </w:p>
        </w:tc>
      </w:tr>
      <w:tr w:rsidR="003B3CBB" w14:paraId="3ABD87F7" w14:textId="77777777">
        <w:trPr>
          <w:trHeight w:val="760"/>
        </w:trPr>
        <w:tc>
          <w:tcPr>
            <w:tcW w:w="0" w:type="auto"/>
            <w:tcBorders>
              <w:top w:val="single" w:sz="6" w:space="0" w:color="FFB000"/>
              <w:left w:val="single" w:sz="6" w:space="0" w:color="FFB000"/>
              <w:bottom w:val="single" w:sz="6" w:space="0" w:color="FFB000"/>
              <w:right w:val="single" w:sz="6" w:space="0" w:color="FFB000"/>
            </w:tcBorders>
            <w:shd w:val="clear" w:color="auto" w:fill="FFE3A3"/>
            <w:tcMar>
              <w:top w:w="40" w:type="dxa"/>
              <w:left w:w="140" w:type="dxa"/>
              <w:bottom w:w="40" w:type="dxa"/>
              <w:right w:w="140" w:type="dxa"/>
            </w:tcMar>
            <w:vAlign w:val="center"/>
            <w:hideMark/>
          </w:tcPr>
          <w:p w14:paraId="675D7CC0" w14:textId="77777777" w:rsidR="003B3CBB" w:rsidRDefault="003B3CBB">
            <w:r>
              <w:rPr>
                <w:color w:val="000000"/>
                <w:sz w:val="16"/>
                <w:szCs w:val="16"/>
              </w:rPr>
              <w:t>Note RAASi therapies, potassium lowering therapies, medications that affect renal function or serum potassium, e.g. diuretics, plus all salient medications</w:t>
            </w:r>
          </w:p>
        </w:tc>
        <w:tc>
          <w:tcPr>
            <w:tcW w:w="0" w:type="auto"/>
            <w:tcBorders>
              <w:top w:val="single" w:sz="6" w:space="0" w:color="FFB000"/>
              <w:left w:val="single" w:sz="6" w:space="0" w:color="FFB000"/>
              <w:bottom w:val="single" w:sz="6" w:space="0" w:color="FFB000"/>
              <w:right w:val="single" w:sz="6" w:space="0" w:color="FFB000"/>
            </w:tcBorders>
            <w:shd w:val="clear" w:color="auto" w:fill="FFE3A3"/>
            <w:tcMar>
              <w:top w:w="40" w:type="dxa"/>
              <w:left w:w="100" w:type="dxa"/>
              <w:bottom w:w="40" w:type="dxa"/>
              <w:right w:w="100" w:type="dxa"/>
            </w:tcMar>
            <w:vAlign w:val="center"/>
            <w:hideMark/>
          </w:tcPr>
          <w:p w14:paraId="0887C717" w14:textId="77777777" w:rsidR="003B3CBB" w:rsidRDefault="003B3CBB">
            <w:r>
              <w:rPr>
                <w:color w:val="000000"/>
                <w:sz w:val="16"/>
                <w:szCs w:val="16"/>
              </w:rPr>
              <w:t>______________</w:t>
            </w:r>
          </w:p>
        </w:tc>
        <w:tc>
          <w:tcPr>
            <w:tcW w:w="0" w:type="auto"/>
            <w:tcBorders>
              <w:top w:val="single" w:sz="6" w:space="0" w:color="FFB000"/>
              <w:left w:val="single" w:sz="6" w:space="0" w:color="FFB000"/>
              <w:bottom w:val="single" w:sz="6" w:space="0" w:color="FFB000"/>
              <w:right w:val="single" w:sz="6" w:space="0" w:color="FFB000"/>
            </w:tcBorders>
            <w:shd w:val="clear" w:color="auto" w:fill="FFE3A3"/>
            <w:tcMar>
              <w:top w:w="40" w:type="dxa"/>
              <w:left w:w="100" w:type="dxa"/>
              <w:bottom w:w="40" w:type="dxa"/>
              <w:right w:w="100" w:type="dxa"/>
            </w:tcMar>
            <w:vAlign w:val="center"/>
            <w:hideMark/>
          </w:tcPr>
          <w:p w14:paraId="5BED8210" w14:textId="77777777" w:rsidR="003B3CBB" w:rsidRDefault="003B3CBB">
            <w:r>
              <w:rPr>
                <w:color w:val="000000"/>
                <w:sz w:val="16"/>
                <w:szCs w:val="16"/>
              </w:rPr>
              <w:t>______________</w:t>
            </w:r>
          </w:p>
        </w:tc>
        <w:tc>
          <w:tcPr>
            <w:tcW w:w="0" w:type="auto"/>
            <w:tcBorders>
              <w:top w:val="single" w:sz="6" w:space="0" w:color="FFB000"/>
              <w:left w:val="single" w:sz="6" w:space="0" w:color="FFB000"/>
              <w:bottom w:val="single" w:sz="6" w:space="0" w:color="FFB000"/>
              <w:right w:val="single" w:sz="6" w:space="0" w:color="FFB000"/>
            </w:tcBorders>
            <w:shd w:val="clear" w:color="auto" w:fill="FFE3A3"/>
            <w:tcMar>
              <w:top w:w="40" w:type="dxa"/>
              <w:left w:w="100" w:type="dxa"/>
              <w:bottom w:w="40" w:type="dxa"/>
              <w:right w:w="100" w:type="dxa"/>
            </w:tcMar>
            <w:vAlign w:val="center"/>
            <w:hideMark/>
          </w:tcPr>
          <w:p w14:paraId="41A38F4E" w14:textId="77777777" w:rsidR="003B3CBB" w:rsidRDefault="003B3CBB">
            <w:r>
              <w:rPr>
                <w:color w:val="000000"/>
                <w:sz w:val="16"/>
                <w:szCs w:val="16"/>
              </w:rPr>
              <w:t>______________</w:t>
            </w:r>
          </w:p>
        </w:tc>
      </w:tr>
    </w:tbl>
    <w:p w14:paraId="34C79922" w14:textId="77777777" w:rsidR="004210BF" w:rsidRDefault="004210BF">
      <w:pPr>
        <w:rPr>
          <w:lang w:eastAsia="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3A3"/>
        <w:tblLook w:val="04A0" w:firstRow="1" w:lastRow="0" w:firstColumn="1" w:lastColumn="0" w:noHBand="0" w:noVBand="1"/>
      </w:tblPr>
      <w:tblGrid>
        <w:gridCol w:w="5225"/>
        <w:gridCol w:w="5226"/>
      </w:tblGrid>
      <w:tr w:rsidR="003B3CBB" w14:paraId="073FA93E" w14:textId="77777777">
        <w:tc>
          <w:tcPr>
            <w:tcW w:w="2500" w:type="pct"/>
            <w:tcBorders>
              <w:top w:val="single" w:sz="6" w:space="0" w:color="FFB000"/>
              <w:left w:val="single" w:sz="6" w:space="0" w:color="FFB000"/>
              <w:bottom w:val="single" w:sz="6" w:space="0" w:color="FFB000"/>
              <w:right w:val="single" w:sz="6" w:space="0" w:color="FFB000"/>
            </w:tcBorders>
            <w:shd w:val="clear" w:color="auto" w:fill="FFE3A3"/>
            <w:tcMar>
              <w:top w:w="40" w:type="dxa"/>
              <w:left w:w="140" w:type="dxa"/>
              <w:bottom w:w="40" w:type="dxa"/>
              <w:right w:w="140" w:type="dxa"/>
            </w:tcMar>
            <w:hideMark/>
          </w:tcPr>
          <w:p w14:paraId="12ADE148" w14:textId="77777777" w:rsidR="003B3CBB" w:rsidRDefault="003B3CBB">
            <w:pPr>
              <w:spacing w:after="40"/>
              <w:rPr>
                <w:sz w:val="20"/>
                <w:szCs w:val="20"/>
                <w:lang w:eastAsia="en-GB"/>
              </w:rPr>
            </w:pPr>
            <w:r>
              <w:rPr>
                <w:b/>
                <w:bCs/>
                <w:sz w:val="20"/>
                <w:szCs w:val="20"/>
              </w:rPr>
              <w:t>Relevant recent examination</w:t>
            </w:r>
          </w:p>
          <w:p w14:paraId="33A83DA1" w14:textId="77777777" w:rsidR="003B3CBB" w:rsidRDefault="003B3CBB">
            <w:pPr>
              <w:spacing w:after="40"/>
              <w:rPr>
                <w:sz w:val="16"/>
                <w:szCs w:val="16"/>
              </w:rPr>
            </w:pPr>
            <w:r>
              <w:rPr>
                <w:sz w:val="16"/>
                <w:szCs w:val="16"/>
              </w:rPr>
              <w:t>Status                                  Date</w:t>
            </w:r>
          </w:p>
          <w:p w14:paraId="58512559" w14:textId="77777777" w:rsidR="003B3CBB" w:rsidRDefault="003B3CBB">
            <w:pPr>
              <w:rPr>
                <w:sz w:val="16"/>
                <w:szCs w:val="16"/>
              </w:rPr>
            </w:pPr>
            <w:r>
              <w:rPr>
                <w:sz w:val="16"/>
                <w:szCs w:val="16"/>
              </w:rPr>
              <w:t>Note salient, e.g. blood pressure, weight, fluid balance</w:t>
            </w:r>
            <w:r>
              <w:rPr>
                <w:sz w:val="16"/>
                <w:szCs w:val="16"/>
              </w:rPr>
              <w:br/>
              <w:t>________________________________</w:t>
            </w:r>
          </w:p>
        </w:tc>
        <w:tc>
          <w:tcPr>
            <w:tcW w:w="2500" w:type="pct"/>
            <w:tcBorders>
              <w:top w:val="single" w:sz="6" w:space="0" w:color="FFB000"/>
              <w:left w:val="nil"/>
              <w:bottom w:val="single" w:sz="6" w:space="0" w:color="FFB000"/>
              <w:right w:val="single" w:sz="6" w:space="0" w:color="FFB000"/>
            </w:tcBorders>
            <w:shd w:val="clear" w:color="auto" w:fill="FFE3A3"/>
            <w:tcMar>
              <w:top w:w="40" w:type="dxa"/>
              <w:left w:w="140" w:type="dxa"/>
              <w:bottom w:w="40" w:type="dxa"/>
              <w:right w:w="140" w:type="dxa"/>
            </w:tcMar>
            <w:hideMark/>
          </w:tcPr>
          <w:p w14:paraId="3C12BBB2" w14:textId="77777777" w:rsidR="003B3CBB" w:rsidRDefault="003B3CBB">
            <w:pPr>
              <w:spacing w:after="40"/>
              <w:rPr>
                <w:sz w:val="20"/>
                <w:szCs w:val="20"/>
              </w:rPr>
            </w:pPr>
            <w:r>
              <w:rPr>
                <w:b/>
                <w:bCs/>
                <w:sz w:val="20"/>
                <w:szCs w:val="20"/>
              </w:rPr>
              <w:t>Relevant recent blood monitoring</w:t>
            </w:r>
          </w:p>
          <w:p w14:paraId="35B778E0" w14:textId="77777777" w:rsidR="003B3CBB" w:rsidRDefault="003B3CBB">
            <w:pPr>
              <w:spacing w:after="40"/>
              <w:rPr>
                <w:sz w:val="16"/>
                <w:szCs w:val="16"/>
              </w:rPr>
            </w:pPr>
            <w:r>
              <w:rPr>
                <w:sz w:val="16"/>
                <w:szCs w:val="16"/>
              </w:rPr>
              <w:t>Result                                  Date</w:t>
            </w:r>
          </w:p>
          <w:p w14:paraId="5AA501B7" w14:textId="77777777" w:rsidR="003B3CBB" w:rsidRDefault="003B3CBB">
            <w:pPr>
              <w:rPr>
                <w:sz w:val="16"/>
                <w:szCs w:val="16"/>
              </w:rPr>
            </w:pPr>
            <w:r>
              <w:rPr>
                <w:sz w:val="16"/>
                <w:szCs w:val="16"/>
              </w:rPr>
              <w:t>Note salient, e.g. serum potassium, renal function</w:t>
            </w:r>
            <w:r>
              <w:rPr>
                <w:sz w:val="16"/>
                <w:szCs w:val="16"/>
              </w:rPr>
              <w:br/>
              <w:t>________________________________</w:t>
            </w:r>
          </w:p>
        </w:tc>
      </w:tr>
    </w:tbl>
    <w:p w14:paraId="2DFBE0E9" w14:textId="77777777" w:rsidR="003B3CBB" w:rsidRDefault="003B3CBB">
      <w:pPr>
        <w:spacing w:after="40"/>
        <w:rPr>
          <w:sz w:val="2"/>
          <w:szCs w:val="2"/>
          <w:lang w:eastAsia="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E3A3"/>
        <w:tblLook w:val="04A0" w:firstRow="1" w:lastRow="0" w:firstColumn="1" w:lastColumn="0" w:noHBand="0" w:noVBand="1"/>
      </w:tblPr>
      <w:tblGrid>
        <w:gridCol w:w="10451"/>
      </w:tblGrid>
      <w:tr w:rsidR="003B3CBB" w14:paraId="7D5E5111" w14:textId="77777777">
        <w:tc>
          <w:tcPr>
            <w:tcW w:w="0" w:type="auto"/>
            <w:tcBorders>
              <w:top w:val="single" w:sz="6" w:space="0" w:color="FFB000"/>
              <w:left w:val="single" w:sz="6" w:space="0" w:color="FFB000"/>
              <w:bottom w:val="single" w:sz="6" w:space="0" w:color="FFB000"/>
              <w:right w:val="single" w:sz="6" w:space="0" w:color="FFB000"/>
            </w:tcBorders>
            <w:shd w:val="clear" w:color="auto" w:fill="FFE3A3"/>
            <w:tcMar>
              <w:top w:w="40" w:type="dxa"/>
              <w:left w:w="140" w:type="dxa"/>
              <w:bottom w:w="40" w:type="dxa"/>
              <w:right w:w="140" w:type="dxa"/>
            </w:tcMar>
            <w:hideMark/>
          </w:tcPr>
          <w:p w14:paraId="2E3B593B" w14:textId="77777777" w:rsidR="003B3CBB" w:rsidRDefault="003B3CBB">
            <w:pPr>
              <w:spacing w:after="160"/>
              <w:rPr>
                <w:sz w:val="20"/>
                <w:szCs w:val="20"/>
                <w:lang w:eastAsia="en-GB"/>
              </w:rPr>
            </w:pPr>
            <w:r>
              <w:rPr>
                <w:b/>
                <w:bCs/>
                <w:sz w:val="20"/>
                <w:szCs w:val="20"/>
              </w:rPr>
              <w:t>Clinical update (example)</w:t>
            </w:r>
          </w:p>
          <w:p w14:paraId="35DAE5D4" w14:textId="77777777" w:rsidR="003B3CBB" w:rsidRDefault="003B3CBB">
            <w:pPr>
              <w:spacing w:after="120"/>
              <w:rPr>
                <w:sz w:val="16"/>
                <w:szCs w:val="16"/>
              </w:rPr>
            </w:pPr>
            <w:r>
              <w:rPr>
                <w:sz w:val="16"/>
                <w:szCs w:val="16"/>
              </w:rPr>
              <w:t>This individual was referred for management of (cardiorenal condition), optimisation of RAASi therapies and normalisation of serum potassium levels.</w:t>
            </w:r>
          </w:p>
          <w:p w14:paraId="29AFD51A" w14:textId="77777777" w:rsidR="003B3CBB" w:rsidRDefault="003B3CBB">
            <w:pPr>
              <w:spacing w:after="120"/>
              <w:rPr>
                <w:sz w:val="16"/>
                <w:szCs w:val="16"/>
              </w:rPr>
            </w:pPr>
            <w:r>
              <w:rPr>
                <w:sz w:val="16"/>
                <w:szCs w:val="16"/>
              </w:rPr>
              <w:t>Potassium lowering strategies and therapies have been employed (provide details – see ‘Potassium lowering strategies and therapies’). These should be maintained to prevent recurrence of hyperkalaemia and enable optimisation of RAASi therapy.</w:t>
            </w:r>
          </w:p>
          <w:p w14:paraId="598F0D2D" w14:textId="77777777" w:rsidR="003B3CBB" w:rsidRDefault="003B3CBB">
            <w:pPr>
              <w:spacing w:after="120"/>
              <w:rPr>
                <w:sz w:val="16"/>
                <w:szCs w:val="16"/>
              </w:rPr>
            </w:pPr>
            <w:r>
              <w:rPr>
                <w:sz w:val="16"/>
                <w:szCs w:val="16"/>
              </w:rPr>
              <w:t>RAASi therapy has been optimised. This should be maintained for optimal cardiorenal protection (see ‘RAASi therapy in the context of hyperkalaemia’).</w:t>
            </w:r>
          </w:p>
          <w:p w14:paraId="5FF9632B" w14:textId="77777777" w:rsidR="003B3CBB" w:rsidRDefault="003B3CBB">
            <w:pPr>
              <w:rPr>
                <w:sz w:val="16"/>
                <w:szCs w:val="16"/>
              </w:rPr>
            </w:pPr>
            <w:r>
              <w:rPr>
                <w:sz w:val="16"/>
                <w:szCs w:val="16"/>
              </w:rPr>
              <w:t>Clinical status, serum potassium and medication doses are now stable. Moving forwards, the care of this individual can be appropriately overseen by primary care (may be appropriate if individual on RAASi therapy only</w:t>
            </w:r>
            <w:proofErr w:type="gramStart"/>
            <w:r>
              <w:rPr>
                <w:sz w:val="16"/>
                <w:szCs w:val="16"/>
              </w:rPr>
              <w:t>), OR</w:t>
            </w:r>
            <w:proofErr w:type="gramEnd"/>
            <w:r>
              <w:rPr>
                <w:sz w:val="16"/>
                <w:szCs w:val="16"/>
              </w:rPr>
              <w:t xml:space="preserve"> jointly managed between primary and secondary care (may be appropriate if individual on potassium lowering therapy in addition to RAASi, or more advanced stages of cardiorenal disease).</w:t>
            </w:r>
          </w:p>
        </w:tc>
      </w:tr>
    </w:tbl>
    <w:p w14:paraId="6C40E7D4" w14:textId="77777777" w:rsidR="003B3CBB" w:rsidRDefault="003B3CBB">
      <w:pPr>
        <w:spacing w:after="20"/>
        <w:rPr>
          <w:sz w:val="2"/>
          <w:szCs w:val="2"/>
          <w:lang w:eastAsia="en-GB"/>
        </w:rPr>
      </w:pPr>
    </w:p>
    <w:p w14:paraId="2E89A819" w14:textId="77777777" w:rsidR="003B3CBB" w:rsidRPr="005F2350" w:rsidRDefault="003B3CBB">
      <w:pPr>
        <w:spacing w:after="0"/>
        <w:rPr>
          <w:sz w:val="32"/>
          <w:szCs w:val="32"/>
          <w:lang w:eastAsia="en-GB"/>
        </w:rPr>
      </w:pPr>
      <w:r w:rsidRPr="005F2350">
        <w:rPr>
          <w:b/>
          <w:bCs/>
          <w:sz w:val="16"/>
          <w:szCs w:val="16"/>
        </w:rPr>
        <w:t>*Renin Angiotensin Aldosterone System inhibitor therapy (ACE inhibitors, angiotensin II receptor blockers, angiotensin receptor/neprilysin inhibitor, mineralocorticoid receptor antagonists)</w:t>
      </w:r>
    </w:p>
    <w:p w14:paraId="103389D0" w14:textId="37901FE2" w:rsidR="00811F75" w:rsidRDefault="00811F75">
      <w:pPr>
        <w:rPr>
          <w:lang w:eastAsia="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8D8D0"/>
        <w:tblLook w:val="04A0" w:firstRow="1" w:lastRow="0" w:firstColumn="1" w:lastColumn="0" w:noHBand="0" w:noVBand="1"/>
      </w:tblPr>
      <w:tblGrid>
        <w:gridCol w:w="4605"/>
        <w:gridCol w:w="5862"/>
      </w:tblGrid>
      <w:tr w:rsidR="003B3CBB" w14:paraId="65077876" w14:textId="77777777">
        <w:tc>
          <w:tcPr>
            <w:tcW w:w="0" w:type="auto"/>
            <w:gridSpan w:val="2"/>
            <w:shd w:val="clear" w:color="auto" w:fill="A8D8D0"/>
            <w:hideMark/>
          </w:tcPr>
          <w:p w14:paraId="484A4A0C" w14:textId="77777777" w:rsidR="003B3CBB" w:rsidRDefault="003B3CBB">
            <w:pPr>
              <w:spacing w:after="40"/>
              <w:rPr>
                <w:sz w:val="20"/>
                <w:szCs w:val="20"/>
                <w:lang w:eastAsia="en-GB"/>
              </w:rPr>
            </w:pPr>
            <w:r>
              <w:rPr>
                <w:b/>
                <w:bCs/>
                <w:sz w:val="20"/>
                <w:szCs w:val="20"/>
              </w:rPr>
              <w:lastRenderedPageBreak/>
              <w:t>Roles/responsibilities of primary care (advise next due dates)</w:t>
            </w:r>
          </w:p>
        </w:tc>
      </w:tr>
      <w:tr w:rsidR="003B3CBB" w14:paraId="1B3659D9" w14:textId="77777777">
        <w:tc>
          <w:tcPr>
            <w:tcW w:w="2200" w:type="pct"/>
            <w:shd w:val="clear" w:color="auto" w:fill="A8D8D0"/>
            <w:hideMark/>
          </w:tcPr>
          <w:p w14:paraId="6AA5395B" w14:textId="77777777" w:rsidR="003B3CBB" w:rsidRDefault="003B3CBB">
            <w:pPr>
              <w:rPr>
                <w:sz w:val="16"/>
                <w:szCs w:val="16"/>
              </w:rPr>
            </w:pPr>
            <w:r>
              <w:rPr>
                <w:sz w:val="16"/>
                <w:szCs w:val="16"/>
              </w:rPr>
              <w:t>Clinical review</w:t>
            </w:r>
          </w:p>
        </w:tc>
        <w:tc>
          <w:tcPr>
            <w:tcW w:w="2800" w:type="pct"/>
            <w:shd w:val="clear" w:color="auto" w:fill="A8D8D0"/>
            <w:hideMark/>
          </w:tcPr>
          <w:p w14:paraId="5F9646E0" w14:textId="77777777" w:rsidR="003B3CBB" w:rsidRDefault="003B3CBB">
            <w:pPr>
              <w:spacing w:after="60"/>
              <w:rPr>
                <w:sz w:val="16"/>
                <w:szCs w:val="16"/>
              </w:rPr>
            </w:pPr>
            <w:r>
              <w:rPr>
                <w:sz w:val="16"/>
                <w:szCs w:val="16"/>
              </w:rPr>
              <w:t>✓ Usual primary care for underlying condition appropriate to severity (e.g. 1–4 times per year for chronic kidney disease (CKD))</w:t>
            </w:r>
          </w:p>
          <w:p w14:paraId="2329F204" w14:textId="77777777" w:rsidR="003B3CBB" w:rsidRDefault="003B3CBB">
            <w:pPr>
              <w:rPr>
                <w:sz w:val="16"/>
                <w:szCs w:val="16"/>
              </w:rPr>
            </w:pPr>
            <w:r>
              <w:rPr>
                <w:sz w:val="16"/>
                <w:szCs w:val="16"/>
              </w:rPr>
              <w:t>✓ Extra review (if primary care appropriate) at times of intercurrent illness, medication changes or change in underlying condition</w:t>
            </w:r>
          </w:p>
        </w:tc>
      </w:tr>
      <w:tr w:rsidR="003B3CBB" w14:paraId="283A3CBD" w14:textId="77777777">
        <w:tc>
          <w:tcPr>
            <w:tcW w:w="0" w:type="auto"/>
            <w:shd w:val="clear" w:color="auto" w:fill="A8D8D0"/>
            <w:hideMark/>
          </w:tcPr>
          <w:p w14:paraId="0F219DDF" w14:textId="77777777" w:rsidR="003B3CBB" w:rsidRDefault="003B3CBB">
            <w:pPr>
              <w:rPr>
                <w:sz w:val="16"/>
                <w:szCs w:val="16"/>
              </w:rPr>
            </w:pPr>
            <w:r>
              <w:rPr>
                <w:sz w:val="16"/>
                <w:szCs w:val="16"/>
              </w:rPr>
              <w:t>Medication review</w:t>
            </w:r>
          </w:p>
        </w:tc>
        <w:tc>
          <w:tcPr>
            <w:tcW w:w="0" w:type="auto"/>
            <w:shd w:val="clear" w:color="auto" w:fill="A8D8D0"/>
            <w:hideMark/>
          </w:tcPr>
          <w:p w14:paraId="17B224CB" w14:textId="77777777" w:rsidR="003B3CBB" w:rsidRDefault="003B3CBB">
            <w:pPr>
              <w:rPr>
                <w:sz w:val="16"/>
                <w:szCs w:val="16"/>
              </w:rPr>
            </w:pPr>
            <w:r>
              <w:rPr>
                <w:sz w:val="16"/>
                <w:szCs w:val="16"/>
              </w:rPr>
              <w:t>✓ Review RAASi optimisation and potassium lowering therapies in context of clinical status and blood results</w:t>
            </w:r>
          </w:p>
        </w:tc>
      </w:tr>
      <w:tr w:rsidR="003B3CBB" w14:paraId="1E2B8D78" w14:textId="77777777">
        <w:tc>
          <w:tcPr>
            <w:tcW w:w="0" w:type="auto"/>
            <w:shd w:val="clear" w:color="auto" w:fill="A8D8D0"/>
            <w:hideMark/>
          </w:tcPr>
          <w:p w14:paraId="5D38F2F4" w14:textId="77777777" w:rsidR="003B3CBB" w:rsidRDefault="003B3CBB">
            <w:pPr>
              <w:rPr>
                <w:sz w:val="16"/>
                <w:szCs w:val="16"/>
              </w:rPr>
            </w:pPr>
            <w:r>
              <w:rPr>
                <w:sz w:val="16"/>
                <w:szCs w:val="16"/>
              </w:rPr>
              <w:t>Blood monitoring</w:t>
            </w:r>
          </w:p>
        </w:tc>
        <w:tc>
          <w:tcPr>
            <w:tcW w:w="0" w:type="auto"/>
            <w:shd w:val="clear" w:color="auto" w:fill="A8D8D0"/>
            <w:hideMark/>
          </w:tcPr>
          <w:p w14:paraId="6CCD61BD" w14:textId="77777777" w:rsidR="003B3CBB" w:rsidRDefault="003B3CBB">
            <w:pPr>
              <w:rPr>
                <w:sz w:val="16"/>
                <w:szCs w:val="16"/>
              </w:rPr>
            </w:pPr>
            <w:r>
              <w:rPr>
                <w:sz w:val="16"/>
                <w:szCs w:val="16"/>
              </w:rPr>
              <w:t>✓ Include serum potassium, renal function and any other bloods indicated by medical conditions</w:t>
            </w:r>
          </w:p>
        </w:tc>
      </w:tr>
      <w:tr w:rsidR="003B3CBB" w14:paraId="4296E2CB" w14:textId="77777777">
        <w:tc>
          <w:tcPr>
            <w:tcW w:w="0" w:type="auto"/>
            <w:shd w:val="clear" w:color="auto" w:fill="A8D8D0"/>
            <w:hideMark/>
          </w:tcPr>
          <w:p w14:paraId="07DEE72D" w14:textId="77777777" w:rsidR="003B3CBB" w:rsidRDefault="003B3CBB">
            <w:pPr>
              <w:rPr>
                <w:sz w:val="16"/>
                <w:szCs w:val="16"/>
              </w:rPr>
            </w:pPr>
            <w:r>
              <w:rPr>
                <w:sz w:val="16"/>
                <w:szCs w:val="16"/>
              </w:rPr>
              <w:t>Prescribing responsibility</w:t>
            </w:r>
          </w:p>
        </w:tc>
        <w:tc>
          <w:tcPr>
            <w:tcW w:w="0" w:type="auto"/>
            <w:shd w:val="clear" w:color="auto" w:fill="A8D8D0"/>
            <w:hideMark/>
          </w:tcPr>
          <w:p w14:paraId="0D574DC4" w14:textId="77777777" w:rsidR="003B3CBB" w:rsidRDefault="003B3CBB">
            <w:pPr>
              <w:spacing w:after="60"/>
              <w:rPr>
                <w:sz w:val="16"/>
                <w:szCs w:val="16"/>
              </w:rPr>
            </w:pPr>
            <w:r>
              <w:rPr>
                <w:sz w:val="16"/>
                <w:szCs w:val="16"/>
              </w:rPr>
              <w:t>Consider expertise and local area prescribing committee advice:</w:t>
            </w:r>
          </w:p>
          <w:p w14:paraId="694F1651" w14:textId="77777777" w:rsidR="003B3CBB" w:rsidRDefault="003B3CBB">
            <w:pPr>
              <w:spacing w:after="60"/>
              <w:rPr>
                <w:sz w:val="16"/>
                <w:szCs w:val="16"/>
              </w:rPr>
            </w:pPr>
            <w:r>
              <w:rPr>
                <w:sz w:val="16"/>
                <w:szCs w:val="16"/>
              </w:rPr>
              <w:t>✓ Primary care to prescribe medications classified as green, e.g. most RAASi therapies</w:t>
            </w:r>
          </w:p>
          <w:p w14:paraId="1A181185" w14:textId="77777777" w:rsidR="003B3CBB" w:rsidRDefault="003B3CBB">
            <w:pPr>
              <w:spacing w:after="60"/>
              <w:rPr>
                <w:sz w:val="16"/>
                <w:szCs w:val="16"/>
              </w:rPr>
            </w:pPr>
            <w:r>
              <w:rPr>
                <w:sz w:val="16"/>
                <w:szCs w:val="16"/>
              </w:rPr>
              <w:t>✓ Medications classified as amber, e.g. some potassium lowering therapies, can be prescribed by primary care in conjunction with specialist if sufficient information and support is provided, e.g. shared care agreement</w:t>
            </w:r>
          </w:p>
          <w:p w14:paraId="2864EAF8" w14:textId="77777777" w:rsidR="003B3CBB" w:rsidRDefault="003B3CBB">
            <w:pPr>
              <w:rPr>
                <w:sz w:val="16"/>
                <w:szCs w:val="16"/>
              </w:rPr>
            </w:pPr>
            <w:r>
              <w:rPr>
                <w:sz w:val="16"/>
                <w:szCs w:val="16"/>
              </w:rPr>
              <w:t>✓ GPs with extended roles in cardiorenal medicine may prescribe more specialist medications</w:t>
            </w:r>
          </w:p>
        </w:tc>
      </w:tr>
    </w:tbl>
    <w:p w14:paraId="5C62D8AA" w14:textId="77777777" w:rsidR="004210BF" w:rsidRDefault="004210BF">
      <w:pPr>
        <w:rPr>
          <w:lang w:eastAsia="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8D8D0"/>
        <w:tblLook w:val="04A0" w:firstRow="1" w:lastRow="0" w:firstColumn="1" w:lastColumn="0" w:noHBand="0" w:noVBand="1"/>
      </w:tblPr>
      <w:tblGrid>
        <w:gridCol w:w="4605"/>
        <w:gridCol w:w="5862"/>
      </w:tblGrid>
      <w:tr w:rsidR="003B3CBB" w14:paraId="5EAC7177" w14:textId="77777777">
        <w:tc>
          <w:tcPr>
            <w:tcW w:w="0" w:type="auto"/>
            <w:gridSpan w:val="2"/>
            <w:shd w:val="clear" w:color="auto" w:fill="A8D8D0"/>
            <w:hideMark/>
          </w:tcPr>
          <w:p w14:paraId="0FE4FC37" w14:textId="77777777" w:rsidR="003B3CBB" w:rsidRDefault="003B3CBB">
            <w:pPr>
              <w:spacing w:after="40"/>
              <w:rPr>
                <w:sz w:val="20"/>
                <w:szCs w:val="20"/>
                <w:lang w:eastAsia="en-GB"/>
              </w:rPr>
            </w:pPr>
            <w:r>
              <w:rPr>
                <w:b/>
                <w:bCs/>
                <w:sz w:val="20"/>
                <w:szCs w:val="20"/>
              </w:rPr>
              <w:t>Roles/responsibilities of secondary care (advise next due dates)</w:t>
            </w:r>
          </w:p>
        </w:tc>
      </w:tr>
      <w:tr w:rsidR="003B3CBB" w14:paraId="0E3A332E" w14:textId="77777777">
        <w:tc>
          <w:tcPr>
            <w:tcW w:w="2200" w:type="pct"/>
            <w:shd w:val="clear" w:color="auto" w:fill="A8D8D0"/>
            <w:hideMark/>
          </w:tcPr>
          <w:p w14:paraId="1889D7DF" w14:textId="77777777" w:rsidR="003B3CBB" w:rsidRDefault="003B3CBB">
            <w:pPr>
              <w:rPr>
                <w:sz w:val="16"/>
                <w:szCs w:val="16"/>
              </w:rPr>
            </w:pPr>
            <w:r>
              <w:rPr>
                <w:sz w:val="16"/>
                <w:szCs w:val="16"/>
              </w:rPr>
              <w:t>Clinical review</w:t>
            </w:r>
          </w:p>
        </w:tc>
        <w:tc>
          <w:tcPr>
            <w:tcW w:w="2800" w:type="pct"/>
            <w:shd w:val="clear" w:color="auto" w:fill="A8D8D0"/>
            <w:hideMark/>
          </w:tcPr>
          <w:p w14:paraId="7B2B403A" w14:textId="77777777" w:rsidR="003B3CBB" w:rsidRDefault="003B3CBB">
            <w:pPr>
              <w:spacing w:after="60"/>
              <w:rPr>
                <w:sz w:val="16"/>
                <w:szCs w:val="16"/>
              </w:rPr>
            </w:pPr>
            <w:r>
              <w:rPr>
                <w:sz w:val="16"/>
                <w:szCs w:val="16"/>
              </w:rPr>
              <w:t>✓ Usual secondary care for underlying condition appropriate to severity</w:t>
            </w:r>
          </w:p>
          <w:p w14:paraId="454BF671" w14:textId="77777777" w:rsidR="003B3CBB" w:rsidRDefault="003B3CBB">
            <w:pPr>
              <w:rPr>
                <w:sz w:val="16"/>
                <w:szCs w:val="16"/>
              </w:rPr>
            </w:pPr>
            <w:r>
              <w:rPr>
                <w:sz w:val="16"/>
                <w:szCs w:val="16"/>
              </w:rPr>
              <w:t>✓ Extra review (if secondary care appropriate) at times of intercurrent illness, medication changes or change in underlying condition</w:t>
            </w:r>
          </w:p>
        </w:tc>
      </w:tr>
      <w:tr w:rsidR="003B3CBB" w14:paraId="66817F4E" w14:textId="77777777">
        <w:tc>
          <w:tcPr>
            <w:tcW w:w="0" w:type="auto"/>
            <w:shd w:val="clear" w:color="auto" w:fill="A8D8D0"/>
            <w:hideMark/>
          </w:tcPr>
          <w:p w14:paraId="69CA354A" w14:textId="77777777" w:rsidR="003B3CBB" w:rsidRDefault="003B3CBB">
            <w:pPr>
              <w:rPr>
                <w:sz w:val="16"/>
                <w:szCs w:val="16"/>
              </w:rPr>
            </w:pPr>
            <w:r>
              <w:rPr>
                <w:sz w:val="16"/>
                <w:szCs w:val="16"/>
              </w:rPr>
              <w:t>Medication review</w:t>
            </w:r>
          </w:p>
        </w:tc>
        <w:tc>
          <w:tcPr>
            <w:tcW w:w="0" w:type="auto"/>
            <w:shd w:val="clear" w:color="auto" w:fill="A8D8D0"/>
            <w:hideMark/>
          </w:tcPr>
          <w:p w14:paraId="0D6B3FF6" w14:textId="77777777" w:rsidR="003B3CBB" w:rsidRDefault="003B3CBB">
            <w:pPr>
              <w:rPr>
                <w:sz w:val="16"/>
                <w:szCs w:val="16"/>
              </w:rPr>
            </w:pPr>
            <w:r>
              <w:rPr>
                <w:sz w:val="16"/>
                <w:szCs w:val="16"/>
              </w:rPr>
              <w:t>✓ Review RAASi optimisation and potassium lowering therapies in context of clinical status and blood results</w:t>
            </w:r>
          </w:p>
        </w:tc>
      </w:tr>
      <w:tr w:rsidR="003B3CBB" w14:paraId="02C08194" w14:textId="77777777">
        <w:tc>
          <w:tcPr>
            <w:tcW w:w="0" w:type="auto"/>
            <w:shd w:val="clear" w:color="auto" w:fill="A8D8D0"/>
            <w:hideMark/>
          </w:tcPr>
          <w:p w14:paraId="10FDC35B" w14:textId="77777777" w:rsidR="003B3CBB" w:rsidRDefault="003B3CBB">
            <w:pPr>
              <w:rPr>
                <w:sz w:val="16"/>
                <w:szCs w:val="16"/>
              </w:rPr>
            </w:pPr>
            <w:r>
              <w:rPr>
                <w:sz w:val="16"/>
                <w:szCs w:val="16"/>
              </w:rPr>
              <w:t>Blood monitoring</w:t>
            </w:r>
          </w:p>
        </w:tc>
        <w:tc>
          <w:tcPr>
            <w:tcW w:w="0" w:type="auto"/>
            <w:shd w:val="clear" w:color="auto" w:fill="A8D8D0"/>
            <w:hideMark/>
          </w:tcPr>
          <w:p w14:paraId="723C42BC" w14:textId="77777777" w:rsidR="003B3CBB" w:rsidRDefault="003B3CBB">
            <w:pPr>
              <w:spacing w:after="60"/>
              <w:rPr>
                <w:sz w:val="16"/>
                <w:szCs w:val="16"/>
              </w:rPr>
            </w:pPr>
            <w:r>
              <w:rPr>
                <w:sz w:val="16"/>
                <w:szCs w:val="16"/>
              </w:rPr>
              <w:t>✓ Routine bloods to be undertaken in primary care</w:t>
            </w:r>
          </w:p>
          <w:p w14:paraId="0CD92DD8" w14:textId="77777777" w:rsidR="003B3CBB" w:rsidRDefault="003B3CBB">
            <w:pPr>
              <w:rPr>
                <w:sz w:val="16"/>
                <w:szCs w:val="16"/>
              </w:rPr>
            </w:pPr>
            <w:r>
              <w:rPr>
                <w:sz w:val="16"/>
                <w:szCs w:val="16"/>
              </w:rPr>
              <w:t>✓ If extra or more specialist tests are deemed appropriate by secondary care, they must be performed, interpreted and actioned by secondary care</w:t>
            </w:r>
          </w:p>
        </w:tc>
      </w:tr>
      <w:tr w:rsidR="003B3CBB" w14:paraId="0198993A" w14:textId="77777777">
        <w:tc>
          <w:tcPr>
            <w:tcW w:w="0" w:type="auto"/>
            <w:shd w:val="clear" w:color="auto" w:fill="A8D8D0"/>
            <w:hideMark/>
          </w:tcPr>
          <w:p w14:paraId="2E37B088" w14:textId="77777777" w:rsidR="003B3CBB" w:rsidRDefault="003B3CBB">
            <w:pPr>
              <w:rPr>
                <w:sz w:val="16"/>
                <w:szCs w:val="16"/>
              </w:rPr>
            </w:pPr>
            <w:r>
              <w:rPr>
                <w:sz w:val="16"/>
                <w:szCs w:val="16"/>
              </w:rPr>
              <w:t>Prescribing</w:t>
            </w:r>
          </w:p>
        </w:tc>
        <w:tc>
          <w:tcPr>
            <w:tcW w:w="0" w:type="auto"/>
            <w:shd w:val="clear" w:color="auto" w:fill="A8D8D0"/>
            <w:hideMark/>
          </w:tcPr>
          <w:p w14:paraId="297C19DE" w14:textId="77777777" w:rsidR="003B3CBB" w:rsidRDefault="003B3CBB">
            <w:pPr>
              <w:spacing w:after="60"/>
              <w:rPr>
                <w:sz w:val="16"/>
                <w:szCs w:val="16"/>
              </w:rPr>
            </w:pPr>
            <w:r>
              <w:rPr>
                <w:sz w:val="16"/>
                <w:szCs w:val="16"/>
              </w:rPr>
              <w:t>Consider local area prescribing committee advice:</w:t>
            </w:r>
          </w:p>
          <w:p w14:paraId="18F91691" w14:textId="77777777" w:rsidR="003B3CBB" w:rsidRDefault="003B3CBB">
            <w:pPr>
              <w:spacing w:after="60"/>
              <w:rPr>
                <w:sz w:val="16"/>
                <w:szCs w:val="16"/>
              </w:rPr>
            </w:pPr>
            <w:r>
              <w:rPr>
                <w:sz w:val="16"/>
                <w:szCs w:val="16"/>
              </w:rPr>
              <w:t>✓ Secondary care to prescribe medications classified as red, e.g. some potassium   therapies</w:t>
            </w:r>
          </w:p>
          <w:p w14:paraId="26E38601" w14:textId="77777777" w:rsidR="003B3CBB" w:rsidRDefault="003B3CBB">
            <w:pPr>
              <w:rPr>
                <w:sz w:val="16"/>
                <w:szCs w:val="16"/>
              </w:rPr>
            </w:pPr>
            <w:r>
              <w:rPr>
                <w:sz w:val="16"/>
                <w:szCs w:val="16"/>
              </w:rPr>
              <w:t>✓ Medications classified as amber, e.g. some potassium lowering therapies, can be prescribed by primary care in conjunction with specialist if sufficient information and support is provided, e.g. via shared care agreement</w:t>
            </w:r>
          </w:p>
        </w:tc>
      </w:tr>
    </w:tbl>
    <w:p w14:paraId="1FCE4600" w14:textId="77777777" w:rsidR="004210BF" w:rsidRDefault="004210BF">
      <w:pPr>
        <w:rPr>
          <w:lang w:eastAsia="en-GB"/>
        </w:rPr>
      </w:pPr>
    </w:p>
    <w:p w14:paraId="40FC799F" w14:textId="77777777" w:rsidR="003B3CBB" w:rsidRDefault="003B3CBB">
      <w:pPr>
        <w:spacing w:after="120"/>
        <w:rPr>
          <w:lang w:eastAsia="en-GB"/>
        </w:rPr>
      </w:pPr>
      <w:r>
        <w:rPr>
          <w:b/>
          <w:bCs/>
          <w:sz w:val="16"/>
          <w:szCs w:val="16"/>
        </w:rPr>
        <w:t>The next specialist clinic appointment is booked for __________________ OR no further specialist appointments have been booked.</w:t>
      </w:r>
    </w:p>
    <w:p w14:paraId="5488FC9F" w14:textId="77777777" w:rsidR="003B3CBB" w:rsidRDefault="003B3CBB">
      <w:pPr>
        <w:rPr>
          <w:lang w:eastAsia="en-GB"/>
        </w:rPr>
      </w:pPr>
      <w:r>
        <w:rPr>
          <w:b/>
          <w:bCs/>
          <w:sz w:val="16"/>
          <w:szCs w:val="16"/>
        </w:rPr>
        <w:t>Please contact the department if required for non-urgent concerns with view to advice or re-referral.</w:t>
      </w:r>
      <w:r>
        <w:rPr>
          <w:b/>
          <w:bCs/>
          <w:sz w:val="16"/>
          <w:szCs w:val="16"/>
        </w:rPr>
        <w:br/>
        <w:t>Please contact the on-call team or send to urgent care or accident and emergency directly for urgent concerns.</w:t>
      </w:r>
    </w:p>
    <w:p w14:paraId="4D8A143F" w14:textId="77777777" w:rsidR="003B3CBB" w:rsidRDefault="003B3CBB">
      <w:pPr>
        <w:spacing w:after="0"/>
        <w:rPr>
          <w:lang w:eastAsia="en-GB"/>
        </w:rPr>
      </w:pPr>
      <w:r>
        <w:rPr>
          <w:b/>
          <w:bCs/>
          <w:sz w:val="18"/>
          <w:szCs w:val="18"/>
        </w:rPr>
        <w:t xml:space="preserve">Yours sincerely, </w:t>
      </w:r>
    </w:p>
    <w:p w14:paraId="453A991C" w14:textId="77777777" w:rsidR="000B589B" w:rsidRDefault="000B589B">
      <w:pPr>
        <w:spacing w:after="0"/>
        <w:rPr>
          <w:rFonts w:ascii="Arial" w:hAnsi="Arial" w:cs="Arial"/>
          <w:b/>
          <w:bCs/>
          <w:sz w:val="18"/>
          <w:szCs w:val="18"/>
        </w:rPr>
      </w:pPr>
    </w:p>
    <w:p w14:paraId="149C0C43" w14:textId="77777777" w:rsidR="00811F75" w:rsidRDefault="00811F75">
      <w:pPr>
        <w:spacing w:after="0"/>
        <w:rPr>
          <w:lang w:eastAsia="en-GB"/>
        </w:rPr>
      </w:pPr>
      <w:r>
        <w:rPr>
          <w:b/>
          <w:bCs/>
          <w:sz w:val="18"/>
          <w:szCs w:val="18"/>
        </w:rPr>
        <w:t>Specialist</w:t>
      </w:r>
    </w:p>
    <w:p w14:paraId="00F04A02" w14:textId="77777777" w:rsidR="00634793" w:rsidRDefault="00634793" w:rsidP="00634793">
      <w:pPr>
        <w:rPr>
          <w:rFonts w:ascii="Arial" w:hAnsi="Arial" w:cs="Arial"/>
          <w:sz w:val="2"/>
          <w:szCs w:val="2"/>
        </w:rPr>
      </w:pPr>
      <w:r>
        <w:rPr>
          <w:rFonts w:ascii="Arial" w:hAnsi="Arial" w:cs="Arial"/>
          <w:sz w:val="2"/>
          <w:szCs w:val="2"/>
        </w:rPr>
        <w:br w:type="page"/>
      </w:r>
    </w:p>
    <w:tbl>
      <w:tblPr>
        <w:tblStyle w:val="TableGrid"/>
        <w:tblpPr w:leftFromText="180" w:rightFromText="180" w:vertAnchor="page" w:horzAnchor="margin" w:tblpY="167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EAAF0"/>
        <w:tblLook w:val="04A0" w:firstRow="1" w:lastRow="0" w:firstColumn="1" w:lastColumn="0" w:noHBand="0" w:noVBand="1"/>
      </w:tblPr>
      <w:tblGrid>
        <w:gridCol w:w="10467"/>
      </w:tblGrid>
      <w:tr w:rsidR="00252C45" w14:paraId="38F49342" w14:textId="77777777" w:rsidTr="003B3CBB">
        <w:trPr>
          <w:trHeight w:val="6975"/>
        </w:trPr>
        <w:tc>
          <w:tcPr>
            <w:tcW w:w="5000" w:type="pct"/>
            <w:shd w:val="clear" w:color="auto" w:fill="7EAAF0"/>
            <w:hideMark/>
          </w:tcPr>
          <w:p w14:paraId="4D5646B0" w14:textId="77777777" w:rsidR="00252C45" w:rsidRDefault="00252C45" w:rsidP="003B3CBB">
            <w:pPr>
              <w:spacing w:after="60"/>
              <w:rPr>
                <w:sz w:val="22"/>
                <w:szCs w:val="22"/>
                <w:lang w:eastAsia="en-GB"/>
              </w:rPr>
            </w:pPr>
            <w:r>
              <w:rPr>
                <w:b/>
                <w:bCs/>
                <w:sz w:val="22"/>
                <w:szCs w:val="22"/>
              </w:rPr>
              <w:lastRenderedPageBreak/>
              <w:t>Potassium lowering strategies and therapies:</w:t>
            </w:r>
          </w:p>
          <w:p w14:paraId="01E2AA67" w14:textId="77777777" w:rsidR="00252C45" w:rsidRDefault="00252C45" w:rsidP="003B3CBB">
            <w:pPr>
              <w:spacing w:after="40"/>
              <w:rPr>
                <w:sz w:val="18"/>
                <w:szCs w:val="18"/>
              </w:rPr>
            </w:pPr>
            <w:r>
              <w:rPr>
                <w:b/>
                <w:bCs/>
                <w:sz w:val="18"/>
                <w:szCs w:val="18"/>
              </w:rPr>
              <w:t>1. Address correctable causes of hyperkalaemia:</w:t>
            </w:r>
          </w:p>
          <w:p w14:paraId="6FAFEA70" w14:textId="77777777" w:rsidR="00252C45" w:rsidRDefault="00252C45" w:rsidP="003B3CBB">
            <w:pPr>
              <w:spacing w:after="40"/>
              <w:rPr>
                <w:sz w:val="16"/>
                <w:szCs w:val="16"/>
              </w:rPr>
            </w:pPr>
            <w:r>
              <w:rPr>
                <w:sz w:val="16"/>
                <w:szCs w:val="16"/>
              </w:rPr>
              <w:t>✓ Adjust potassium elevating drugs*² – Prioritise those that can be swapped/withheld with least adverse consequences. Down-titrate/discontinue RAASi therapy as a last resort² – see ‘RAASi therapy in the context of hyperkalaemia’</w:t>
            </w:r>
          </w:p>
          <w:p w14:paraId="4AC1AD4C" w14:textId="77777777" w:rsidR="00252C45" w:rsidRDefault="00252C45" w:rsidP="003B3CBB">
            <w:pPr>
              <w:spacing w:after="40"/>
              <w:rPr>
                <w:sz w:val="16"/>
                <w:szCs w:val="16"/>
              </w:rPr>
            </w:pPr>
            <w:r>
              <w:rPr>
                <w:sz w:val="16"/>
                <w:szCs w:val="16"/>
              </w:rPr>
              <w:t xml:space="preserve">✓ Modify diet – Advise a healthy, diverse diet with higher consumption of plant-based foods than animal-based foods and low consumption of ultra processed </w:t>
            </w:r>
            <w:proofErr w:type="gramStart"/>
            <w:r>
              <w:rPr>
                <w:sz w:val="16"/>
                <w:szCs w:val="16"/>
              </w:rPr>
              <w:t>foods.³</w:t>
            </w:r>
            <w:proofErr w:type="gramEnd"/>
            <w:r>
              <w:rPr>
                <w:sz w:val="16"/>
                <w:szCs w:val="16"/>
              </w:rPr>
              <w:t xml:space="preserve"> If potassium remains &gt;5.5 mmol/L once non-dietary factors are addressed, refer to specialist dietician²</w:t>
            </w:r>
          </w:p>
          <w:p w14:paraId="032208AA" w14:textId="77777777" w:rsidR="00252C45" w:rsidRDefault="00252C45" w:rsidP="003B3CBB">
            <w:pPr>
              <w:spacing w:after="20"/>
              <w:rPr>
                <w:sz w:val="16"/>
                <w:szCs w:val="16"/>
              </w:rPr>
            </w:pPr>
            <w:r>
              <w:rPr>
                <w:sz w:val="16"/>
                <w:szCs w:val="16"/>
              </w:rPr>
              <w:t>✓ Correct metabolic acidosis² – Metabolic acidosis increases the risk of hyperkalaemia</w:t>
            </w:r>
          </w:p>
          <w:p w14:paraId="4BB3233F" w14:textId="77777777" w:rsidR="00252C45" w:rsidRDefault="00252C45" w:rsidP="003B3CBB">
            <w:pPr>
              <w:spacing w:after="20"/>
              <w:rPr>
                <w:sz w:val="16"/>
                <w:szCs w:val="16"/>
              </w:rPr>
            </w:pPr>
            <w:r>
              <w:rPr>
                <w:sz w:val="16"/>
                <w:szCs w:val="16"/>
              </w:rPr>
              <w:t>✓ Optimise glycaemic control² – Poorly controlled diabetes increases the risk of hyperkalaemia</w:t>
            </w:r>
          </w:p>
          <w:p w14:paraId="325BF84A" w14:textId="77777777" w:rsidR="00252C45" w:rsidRDefault="00252C45" w:rsidP="003B3CBB">
            <w:pPr>
              <w:spacing w:after="40"/>
              <w:rPr>
                <w:sz w:val="16"/>
                <w:szCs w:val="16"/>
              </w:rPr>
            </w:pPr>
            <w:r>
              <w:rPr>
                <w:sz w:val="16"/>
                <w:szCs w:val="16"/>
              </w:rPr>
              <w:t>✓ Avoid/address constipation² – Constipation increases the risk of hyperkalaemia</w:t>
            </w:r>
          </w:p>
          <w:p w14:paraId="0D50F58B" w14:textId="77777777" w:rsidR="00252C45" w:rsidRDefault="00252C45" w:rsidP="003B3CBB">
            <w:pPr>
              <w:spacing w:after="20"/>
              <w:rPr>
                <w:sz w:val="18"/>
                <w:szCs w:val="18"/>
              </w:rPr>
            </w:pPr>
            <w:r>
              <w:rPr>
                <w:b/>
                <w:bCs/>
                <w:sz w:val="18"/>
                <w:szCs w:val="18"/>
              </w:rPr>
              <w:t>2. Consider potassium lowering medications (acutely or longer term):</w:t>
            </w:r>
          </w:p>
          <w:p w14:paraId="75E893FC" w14:textId="77777777" w:rsidR="00252C45" w:rsidRDefault="00252C45" w:rsidP="003B3CBB">
            <w:pPr>
              <w:spacing w:after="20"/>
              <w:rPr>
                <w:sz w:val="16"/>
                <w:szCs w:val="16"/>
              </w:rPr>
            </w:pPr>
            <w:r>
              <w:rPr>
                <w:sz w:val="16"/>
                <w:szCs w:val="16"/>
              </w:rPr>
              <w:t>✓ Diuretics – Can increase potassium excretion</w:t>
            </w:r>
          </w:p>
          <w:p w14:paraId="7682171D" w14:textId="77777777" w:rsidR="00252C45" w:rsidRDefault="00252C45" w:rsidP="003B3CBB">
            <w:pPr>
              <w:spacing w:after="20"/>
              <w:rPr>
                <w:sz w:val="16"/>
                <w:szCs w:val="16"/>
              </w:rPr>
            </w:pPr>
            <w:r>
              <w:rPr>
                <w:sz w:val="16"/>
                <w:szCs w:val="16"/>
              </w:rPr>
              <w:t>✓ Bicarbonate – Consider adding oral sodium bicarbonate if serum bicarbonate &lt;22 mmol/L</w:t>
            </w:r>
          </w:p>
          <w:p w14:paraId="77BDBB61" w14:textId="77777777" w:rsidR="00252C45" w:rsidRDefault="00252C45" w:rsidP="003B3CBB">
            <w:pPr>
              <w:spacing w:after="40"/>
              <w:rPr>
                <w:sz w:val="16"/>
                <w:szCs w:val="16"/>
              </w:rPr>
            </w:pPr>
            <w:r>
              <w:rPr>
                <w:sz w:val="16"/>
                <w:szCs w:val="16"/>
              </w:rPr>
              <w:t>✓ Potassium binders – Remove potassium from the body via the gastrointestinal tract²</w:t>
            </w:r>
          </w:p>
          <w:p w14:paraId="44CA5E37" w14:textId="77777777" w:rsidR="00252C45" w:rsidRDefault="00252C45" w:rsidP="003B3CBB">
            <w:pPr>
              <w:spacing w:after="20"/>
              <w:rPr>
                <w:sz w:val="18"/>
                <w:szCs w:val="18"/>
              </w:rPr>
            </w:pPr>
            <w:r>
              <w:rPr>
                <w:b/>
                <w:bCs/>
                <w:sz w:val="18"/>
                <w:szCs w:val="18"/>
              </w:rPr>
              <w:t>3. Prevent recurrence of hyperkalaemia:</w:t>
            </w:r>
          </w:p>
          <w:p w14:paraId="228D4610" w14:textId="77777777" w:rsidR="00252C45" w:rsidRDefault="00252C45" w:rsidP="003B3CBB">
            <w:pPr>
              <w:spacing w:after="20"/>
              <w:rPr>
                <w:sz w:val="16"/>
                <w:szCs w:val="16"/>
              </w:rPr>
            </w:pPr>
            <w:r>
              <w:rPr>
                <w:sz w:val="16"/>
                <w:szCs w:val="16"/>
              </w:rPr>
              <w:t>✓ Recurrence of hyperkalaemia should be anticipated, and steps taken to avoid it²</w:t>
            </w:r>
          </w:p>
          <w:p w14:paraId="20C5A4BD" w14:textId="77777777" w:rsidR="00252C45" w:rsidRDefault="00252C45" w:rsidP="003B3CBB">
            <w:pPr>
              <w:spacing w:after="20"/>
              <w:rPr>
                <w:sz w:val="16"/>
                <w:szCs w:val="16"/>
              </w:rPr>
            </w:pPr>
            <w:r>
              <w:rPr>
                <w:sz w:val="16"/>
                <w:szCs w:val="16"/>
              </w:rPr>
              <w:t xml:space="preserve">✓ Careful prescribing of potassium elevating drugs – use only where clearly indicated, with particular care if combinations are required, e.g. </w:t>
            </w:r>
            <w:proofErr w:type="spellStart"/>
            <w:r>
              <w:rPr>
                <w:sz w:val="16"/>
                <w:szCs w:val="16"/>
              </w:rPr>
              <w:t>ACEi</w:t>
            </w:r>
            <w:proofErr w:type="spellEnd"/>
            <w:r>
              <w:rPr>
                <w:sz w:val="16"/>
                <w:szCs w:val="16"/>
              </w:rPr>
              <w:t>/ARB/</w:t>
            </w:r>
            <w:proofErr w:type="spellStart"/>
            <w:r>
              <w:rPr>
                <w:sz w:val="16"/>
                <w:szCs w:val="16"/>
              </w:rPr>
              <w:t>ARNi</w:t>
            </w:r>
            <w:proofErr w:type="spellEnd"/>
            <w:r>
              <w:rPr>
                <w:sz w:val="16"/>
                <w:szCs w:val="16"/>
              </w:rPr>
              <w:t xml:space="preserve"> + MRA for heart failure (HF)²</w:t>
            </w:r>
          </w:p>
          <w:p w14:paraId="594DA0BA" w14:textId="77777777" w:rsidR="00252C45" w:rsidRDefault="00252C45" w:rsidP="003B3CBB">
            <w:pPr>
              <w:spacing w:after="20"/>
              <w:rPr>
                <w:sz w:val="16"/>
                <w:szCs w:val="16"/>
              </w:rPr>
            </w:pPr>
            <w:r>
              <w:rPr>
                <w:sz w:val="16"/>
                <w:szCs w:val="16"/>
              </w:rPr>
              <w:t xml:space="preserve">✓ Regular review of correctable causes and consideration of the need for potassium lowering medications (as </w:t>
            </w:r>
            <w:proofErr w:type="gramStart"/>
            <w:r>
              <w:rPr>
                <w:sz w:val="16"/>
                <w:szCs w:val="16"/>
              </w:rPr>
              <w:t>above)²</w:t>
            </w:r>
            <w:proofErr w:type="gramEnd"/>
          </w:p>
          <w:p w14:paraId="121BF702" w14:textId="77777777" w:rsidR="00252C45" w:rsidRDefault="00252C45" w:rsidP="003B3CBB">
            <w:pPr>
              <w:spacing w:after="20"/>
              <w:rPr>
                <w:sz w:val="16"/>
                <w:szCs w:val="16"/>
              </w:rPr>
            </w:pPr>
            <w:r>
              <w:rPr>
                <w:sz w:val="16"/>
                <w:szCs w:val="16"/>
              </w:rPr>
              <w:t>✓ Regular monitoring of bloods (potassium and renal function) and review should occur at the frequency appropriate for the disease state and the individual, e.g. 1–4 times per year for CKD³ and HF⁴, with additional monitoring during intercurrent illness (especially dehydrating illness), titration of medications that affect potassium levels or renal function, or change in the underlying cardiorenal condition</w:t>
            </w:r>
          </w:p>
          <w:p w14:paraId="55DFCFBB" w14:textId="77777777" w:rsidR="00252C45" w:rsidRDefault="00252C45" w:rsidP="003B3CBB">
            <w:pPr>
              <w:spacing w:after="60"/>
              <w:rPr>
                <w:sz w:val="16"/>
                <w:szCs w:val="16"/>
              </w:rPr>
            </w:pPr>
            <w:r>
              <w:rPr>
                <w:sz w:val="16"/>
                <w:szCs w:val="16"/>
              </w:rPr>
              <w:t>✓ Education of individuals with cardiorenal disease</w:t>
            </w:r>
          </w:p>
          <w:p w14:paraId="3F70F478" w14:textId="77777777" w:rsidR="00811F75" w:rsidRDefault="00811F75">
            <w:pPr>
              <w:shd w:val="clear" w:color="auto" w:fill="C7DBFA"/>
              <w:spacing w:after="60"/>
              <w:rPr>
                <w:lang w:eastAsia="en-GB"/>
              </w:rPr>
            </w:pPr>
            <w:r>
              <w:rPr>
                <w:rFonts w:ascii="Segoe UI Symbol" w:hAnsi="Segoe UI Symbol" w:cs="Segoe UI Symbol"/>
                <w:b/>
                <w:bCs/>
                <w:color w:val="000000"/>
                <w:sz w:val="16"/>
                <w:szCs w:val="16"/>
              </w:rPr>
              <w:t>⚒</w:t>
            </w:r>
            <w:r>
              <w:rPr>
                <w:b/>
                <w:bCs/>
                <w:color w:val="000000"/>
                <w:sz w:val="16"/>
                <w:szCs w:val="16"/>
              </w:rPr>
              <w:t xml:space="preserve"> Sick day guidance</w:t>
            </w:r>
            <w:r>
              <w:rPr>
                <w:color w:val="000000"/>
                <w:sz w:val="16"/>
                <w:szCs w:val="16"/>
              </w:rPr>
              <w:t xml:space="preserve"> – A temporary pause of RAASi therapy, diuretics, metformin and sodium-glucose co-transporter-2 inhibitors during acute dehydrating illness may decrease the risk of acute kidney injury and hyperkalaemia. However, the evidence base for this is weak and there is potential for harm if these medications are not re-instated. Sick day guidance should be based on an individual risk assessment and there must be a clear plan to re-instate any paused </w:t>
            </w:r>
            <w:proofErr w:type="gramStart"/>
            <w:r>
              <w:rPr>
                <w:color w:val="000000"/>
                <w:sz w:val="16"/>
                <w:szCs w:val="16"/>
              </w:rPr>
              <w:t>medications.²</w:t>
            </w:r>
            <w:proofErr w:type="gramEnd"/>
            <w:r>
              <w:rPr>
                <w:color w:val="000000"/>
                <w:sz w:val="16"/>
                <w:szCs w:val="16"/>
              </w:rPr>
              <w:t>,³</w:t>
            </w:r>
          </w:p>
          <w:p w14:paraId="26DD42BF" w14:textId="77777777" w:rsidR="00252C45" w:rsidRDefault="00252C45" w:rsidP="003B3CBB">
            <w:pPr>
              <w:shd w:val="clear" w:color="auto" w:fill="C7DBFA"/>
              <w:spacing w:after="20"/>
              <w:rPr>
                <w:sz w:val="16"/>
                <w:szCs w:val="16"/>
              </w:rPr>
            </w:pPr>
            <w:r>
              <w:rPr>
                <w:b/>
                <w:bCs/>
                <w:sz w:val="16"/>
                <w:szCs w:val="16"/>
              </w:rPr>
              <w:t>**Potassium elevating drugs¹</w:t>
            </w:r>
          </w:p>
          <w:p w14:paraId="11565B2D" w14:textId="77777777" w:rsidR="00252C45" w:rsidRDefault="00252C45" w:rsidP="003B3CBB">
            <w:pPr>
              <w:shd w:val="clear" w:color="auto" w:fill="C7DBFA"/>
              <w:rPr>
                <w:sz w:val="16"/>
                <w:szCs w:val="16"/>
              </w:rPr>
            </w:pPr>
            <w:r>
              <w:rPr>
                <w:sz w:val="16"/>
                <w:szCs w:val="16"/>
              </w:rPr>
              <w:t xml:space="preserve">• RAASi (ACE inhibitors, angiotensin II receptor blockers, mineralocorticoid receptor </w:t>
            </w:r>
            <w:proofErr w:type="gramStart"/>
            <w:r>
              <w:rPr>
                <w:sz w:val="16"/>
                <w:szCs w:val="16"/>
              </w:rPr>
              <w:t xml:space="preserve">antagonists)   </w:t>
            </w:r>
            <w:proofErr w:type="gramEnd"/>
            <w:r>
              <w:rPr>
                <w:sz w:val="16"/>
                <w:szCs w:val="16"/>
              </w:rPr>
              <w:t xml:space="preserve">• Potassium supplements   • Potassium-sparing diuretics   • Trimethoprim/co-trimoxazole   • Nonsteroidal anti-inflammatory drugs   • </w:t>
            </w:r>
            <w:proofErr w:type="gramStart"/>
            <w:r>
              <w:rPr>
                <w:sz w:val="16"/>
                <w:szCs w:val="16"/>
              </w:rPr>
              <w:t>Non-selective</w:t>
            </w:r>
            <w:proofErr w:type="gramEnd"/>
            <w:r>
              <w:rPr>
                <w:sz w:val="16"/>
                <w:szCs w:val="16"/>
              </w:rPr>
              <w:t xml:space="preserve"> beta-blockers   • Antifungals   • Digoxin   • Salt substitutes   • Herbal medicines (e.g. alfalfa, dandelion)</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7EAAF0"/>
        <w:tblLook w:val="04A0" w:firstRow="1" w:lastRow="0" w:firstColumn="1" w:lastColumn="0" w:noHBand="0" w:noVBand="1"/>
      </w:tblPr>
      <w:tblGrid>
        <w:gridCol w:w="10467"/>
      </w:tblGrid>
      <w:tr w:rsidR="00252C45" w14:paraId="40F2CFD9" w14:textId="77777777" w:rsidTr="00E53D5C">
        <w:tc>
          <w:tcPr>
            <w:tcW w:w="5000" w:type="pct"/>
            <w:shd w:val="clear" w:color="auto" w:fill="7EAAF0"/>
            <w:hideMark/>
          </w:tcPr>
          <w:p w14:paraId="79B177FB" w14:textId="77777777" w:rsidR="00252C45" w:rsidRDefault="00252C45">
            <w:pPr>
              <w:spacing w:after="40"/>
              <w:rPr>
                <w:sz w:val="22"/>
                <w:szCs w:val="22"/>
                <w:lang w:eastAsia="en-GB"/>
              </w:rPr>
            </w:pPr>
            <w:r>
              <w:rPr>
                <w:b/>
                <w:bCs/>
                <w:sz w:val="22"/>
                <w:szCs w:val="22"/>
              </w:rPr>
              <w:t>RAASi therapy in the context of hyperkalaemia:</w:t>
            </w:r>
          </w:p>
          <w:p w14:paraId="2854D218" w14:textId="77777777" w:rsidR="00252C45" w:rsidRDefault="00252C45">
            <w:pPr>
              <w:spacing w:after="20"/>
              <w:rPr>
                <w:sz w:val="16"/>
                <w:szCs w:val="16"/>
              </w:rPr>
            </w:pPr>
            <w:r>
              <w:rPr>
                <w:sz w:val="16"/>
                <w:szCs w:val="16"/>
              </w:rPr>
              <w:t>• Hyperkalaemia associated with RAASi use has often been managed by measures to reduce potassium other than down-titration or discontinuation of RAASi therapy³</w:t>
            </w:r>
          </w:p>
          <w:p w14:paraId="590CAA93" w14:textId="77777777" w:rsidR="00252C45" w:rsidRDefault="00252C45">
            <w:pPr>
              <w:spacing w:after="20"/>
              <w:rPr>
                <w:sz w:val="16"/>
                <w:szCs w:val="16"/>
              </w:rPr>
            </w:pPr>
            <w:r>
              <w:rPr>
                <w:sz w:val="16"/>
                <w:szCs w:val="16"/>
              </w:rPr>
              <w:t>• Down-titration or discontinuation of RAASi therapies is associated with adverse clinical outcomes in CKD and HF⁵–⁸</w:t>
            </w:r>
          </w:p>
          <w:p w14:paraId="55F8AAA9" w14:textId="77777777" w:rsidR="00252C45" w:rsidRDefault="00252C45">
            <w:pPr>
              <w:spacing w:after="20"/>
              <w:rPr>
                <w:sz w:val="16"/>
                <w:szCs w:val="16"/>
              </w:rPr>
            </w:pPr>
            <w:r>
              <w:rPr>
                <w:sz w:val="16"/>
                <w:szCs w:val="16"/>
              </w:rPr>
              <w:t xml:space="preserve">• Only down-titrate or discontinue RAASi as a last resort; if hyperkalaemia is uncontrolled despite ‘Potassium lowering strategies and therapies’, or symptomatic hypotension or serum potassium &gt;6.5 mmol/L (until normokalaemia is </w:t>
            </w:r>
            <w:proofErr w:type="gramStart"/>
            <w:r>
              <w:rPr>
                <w:sz w:val="16"/>
                <w:szCs w:val="16"/>
              </w:rPr>
              <w:t>achieved)³</w:t>
            </w:r>
            <w:proofErr w:type="gramEnd"/>
          </w:p>
          <w:p w14:paraId="3FB7E664" w14:textId="77777777" w:rsidR="00252C45" w:rsidRDefault="00252C45">
            <w:pPr>
              <w:spacing w:after="20"/>
              <w:rPr>
                <w:sz w:val="16"/>
                <w:szCs w:val="16"/>
              </w:rPr>
            </w:pPr>
            <w:r>
              <w:rPr>
                <w:sz w:val="16"/>
                <w:szCs w:val="16"/>
              </w:rPr>
              <w:t>• Re-initiate and re-optimise RAASi therapies that are down-titrated or discontinued once normokalaemia is achieved wherever possible – utilise appropriate ‘Potassium lowering therapy’ rather than ‘strategies’</w:t>
            </w:r>
          </w:p>
          <w:p w14:paraId="0D0E71BC" w14:textId="77777777" w:rsidR="00252C45" w:rsidRDefault="00252C45">
            <w:pPr>
              <w:spacing w:after="20"/>
              <w:rPr>
                <w:sz w:val="16"/>
                <w:szCs w:val="16"/>
              </w:rPr>
            </w:pPr>
            <w:r>
              <w:rPr>
                <w:sz w:val="16"/>
                <w:szCs w:val="16"/>
              </w:rPr>
              <w:t>• If hyperkalaemia is preventing RAASi optimisation, seek specialist advice</w:t>
            </w:r>
          </w:p>
          <w:p w14:paraId="7E2DDFE2" w14:textId="77777777" w:rsidR="00252C45" w:rsidRDefault="00252C45">
            <w:pPr>
              <w:rPr>
                <w:sz w:val="16"/>
                <w:szCs w:val="16"/>
              </w:rPr>
            </w:pPr>
            <w:r>
              <w:rPr>
                <w:sz w:val="16"/>
                <w:szCs w:val="16"/>
              </w:rPr>
              <w:t>• N.B. If RAASi therapies are discontinued, also discontinue potassium lowering therapies as appropriate</w:t>
            </w:r>
          </w:p>
        </w:tc>
      </w:tr>
      <w:tr w:rsidR="0053131E" w14:paraId="2B3B9514" w14:textId="77777777" w:rsidTr="005313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160"/>
        </w:trPr>
        <w:tc>
          <w:tcPr>
            <w:tcW w:w="0" w:type="auto"/>
            <w:tcBorders>
              <w:top w:val="nil"/>
              <w:left w:val="nil"/>
              <w:bottom w:val="nil"/>
              <w:right w:val="nil"/>
            </w:tcBorders>
            <w:shd w:val="clear" w:color="auto" w:fill="FFFFFF"/>
            <w:vAlign w:val="center"/>
            <w:hideMark/>
          </w:tcPr>
          <w:p w14:paraId="42C218BB" w14:textId="77777777" w:rsidR="0053131E" w:rsidRDefault="0053131E">
            <w:pPr>
              <w:rPr>
                <w:sz w:val="2"/>
                <w:szCs w:val="2"/>
                <w:lang w:eastAsia="en-GB"/>
              </w:rPr>
            </w:pPr>
          </w:p>
        </w:tc>
      </w:tr>
      <w:tr w:rsidR="00252C45" w14:paraId="64BA1459" w14:textId="77777777">
        <w:tblPrEx>
          <w:shd w:val="clear" w:color="auto" w:fill="FFD36A"/>
        </w:tblPrEx>
        <w:tc>
          <w:tcPr>
            <w:tcW w:w="0" w:type="auto"/>
            <w:shd w:val="clear" w:color="auto" w:fill="FFD36A"/>
            <w:hideMark/>
          </w:tcPr>
          <w:p w14:paraId="65CA0A36" w14:textId="77777777" w:rsidR="00252C45" w:rsidRDefault="00252C45">
            <w:pPr>
              <w:spacing w:after="40"/>
              <w:rPr>
                <w:sz w:val="20"/>
                <w:szCs w:val="20"/>
                <w:lang w:eastAsia="en-GB"/>
              </w:rPr>
            </w:pPr>
            <w:r>
              <w:rPr>
                <w:b/>
                <w:bCs/>
                <w:sz w:val="20"/>
                <w:szCs w:val="20"/>
              </w:rPr>
              <w:t>References:</w:t>
            </w:r>
          </w:p>
          <w:p w14:paraId="12F6B241" w14:textId="77777777" w:rsidR="00252C45" w:rsidRPr="005F2350" w:rsidRDefault="00252C45">
            <w:pPr>
              <w:spacing w:after="20"/>
              <w:rPr>
                <w:sz w:val="16"/>
                <w:szCs w:val="16"/>
              </w:rPr>
            </w:pPr>
            <w:r w:rsidRPr="005F2350">
              <w:rPr>
                <w:sz w:val="16"/>
                <w:szCs w:val="16"/>
              </w:rPr>
              <w:t>1. National Institute for Health and Care Excellence. Chronic Kidney Disease. Evidence Review for Optimal Monitoring Frequency [Internet]. www.nice.org.uk. 2021 Aug. Available from: https://www.nice.org.uk/guidance/ng203/evidence/e-optimal-monitoring-frequency-pdf-9204445986</w:t>
            </w:r>
          </w:p>
          <w:p w14:paraId="1D212C06" w14:textId="77777777" w:rsidR="00252C45" w:rsidRPr="005F2350" w:rsidRDefault="00252C45">
            <w:pPr>
              <w:spacing w:after="20"/>
              <w:rPr>
                <w:sz w:val="16"/>
                <w:szCs w:val="16"/>
              </w:rPr>
            </w:pPr>
            <w:r w:rsidRPr="005F2350">
              <w:rPr>
                <w:sz w:val="16"/>
                <w:szCs w:val="16"/>
              </w:rPr>
              <w:t>2. Alfonzo A, Harrison A, Baines R, Chu A, Mann S, MacRury M. Clinical Practice Guidelines: Treatment of Acute Hyperkalaemia in Adults [Internet]. UKKA. 2023. Available from: https://ukkidney.org/sites/renal.org/files/FINAL%20VERSION%20-%20UKKA%20CLINICAL%20PRACTICE%20GUIDELINE%20-%20MANAGEMENT%20OF%20HYPERKALAEMIA%20IN%20ADULTS%20-%20191223_0.pdf</w:t>
            </w:r>
          </w:p>
          <w:p w14:paraId="1CA2B5CD" w14:textId="77777777" w:rsidR="00252C45" w:rsidRPr="005F2350" w:rsidRDefault="00252C45">
            <w:pPr>
              <w:spacing w:after="20"/>
              <w:rPr>
                <w:sz w:val="16"/>
                <w:szCs w:val="16"/>
              </w:rPr>
            </w:pPr>
            <w:r w:rsidRPr="005F2350">
              <w:rPr>
                <w:sz w:val="16"/>
                <w:szCs w:val="16"/>
              </w:rPr>
              <w:t>3. Kidney Disease: Improving Global Outcomes (KDIGO) CKD Work Group. KDIGO 2024 Clinical Practice Guideline for the Evaluation and Management of Chronic Kidney Disease. Kidney Int. 2024 Apr;105(4S</w:t>
            </w:r>
            <w:proofErr w:type="gramStart"/>
            <w:r w:rsidRPr="005F2350">
              <w:rPr>
                <w:sz w:val="16"/>
                <w:szCs w:val="16"/>
              </w:rPr>
              <w:t>):S</w:t>
            </w:r>
            <w:proofErr w:type="gramEnd"/>
            <w:r w:rsidRPr="005F2350">
              <w:rPr>
                <w:sz w:val="16"/>
                <w:szCs w:val="16"/>
              </w:rPr>
              <w:t>117–S314.</w:t>
            </w:r>
          </w:p>
          <w:p w14:paraId="29254839" w14:textId="77777777" w:rsidR="00252C45" w:rsidRPr="005F2350" w:rsidRDefault="00252C45">
            <w:pPr>
              <w:spacing w:after="20"/>
              <w:rPr>
                <w:sz w:val="16"/>
                <w:szCs w:val="16"/>
              </w:rPr>
            </w:pPr>
            <w:r w:rsidRPr="005F2350">
              <w:rPr>
                <w:sz w:val="16"/>
                <w:szCs w:val="16"/>
              </w:rPr>
              <w:t>4. McDonagh TA, Metra M, Adamo M, Gardner RS, Baumbach A, Böhm M, et al. 2021 ESC Guidelines for the Diagnosis and Treatment of Acute and Chronic Heart Failure. European Heart Journal. 2021;42(36):3599–3726.</w:t>
            </w:r>
          </w:p>
          <w:p w14:paraId="165088E1" w14:textId="77777777" w:rsidR="00252C45" w:rsidRPr="005F2350" w:rsidRDefault="00252C45">
            <w:pPr>
              <w:spacing w:after="20"/>
              <w:rPr>
                <w:sz w:val="16"/>
                <w:szCs w:val="16"/>
              </w:rPr>
            </w:pPr>
            <w:r w:rsidRPr="005F2350">
              <w:rPr>
                <w:sz w:val="16"/>
                <w:szCs w:val="16"/>
              </w:rPr>
              <w:t xml:space="preserve">5. Kanda E, Rastogi A, Kurohara T, </w:t>
            </w:r>
            <w:proofErr w:type="spellStart"/>
            <w:r w:rsidRPr="005F2350">
              <w:rPr>
                <w:sz w:val="16"/>
                <w:szCs w:val="16"/>
              </w:rPr>
              <w:t>Leśn</w:t>
            </w:r>
            <w:proofErr w:type="spellEnd"/>
            <w:r w:rsidRPr="005F2350">
              <w:rPr>
                <w:sz w:val="16"/>
                <w:szCs w:val="16"/>
              </w:rPr>
              <w:t xml:space="preserve"> E, </w:t>
            </w:r>
            <w:proofErr w:type="spellStart"/>
            <w:r w:rsidRPr="005F2350">
              <w:rPr>
                <w:sz w:val="16"/>
                <w:szCs w:val="16"/>
              </w:rPr>
              <w:t>Agiro</w:t>
            </w:r>
            <w:proofErr w:type="spellEnd"/>
            <w:r w:rsidRPr="005F2350">
              <w:rPr>
                <w:sz w:val="16"/>
                <w:szCs w:val="16"/>
              </w:rPr>
              <w:t xml:space="preserve"> A, Arnold M, et al. Clinical Impact of Suboptimal RAASi Therapy Following an Episode of </w:t>
            </w:r>
            <w:proofErr w:type="spellStart"/>
            <w:r w:rsidRPr="005F2350">
              <w:rPr>
                <w:sz w:val="16"/>
                <w:szCs w:val="16"/>
              </w:rPr>
              <w:t>Hyperkalemia</w:t>
            </w:r>
            <w:proofErr w:type="spellEnd"/>
            <w:r w:rsidRPr="005F2350">
              <w:rPr>
                <w:sz w:val="16"/>
                <w:szCs w:val="16"/>
              </w:rPr>
              <w:t>. BMC Nephrology. 2023;24(1):18.</w:t>
            </w:r>
          </w:p>
          <w:p w14:paraId="2A9FCEDF" w14:textId="77777777" w:rsidR="00252C45" w:rsidRPr="005F2350" w:rsidRDefault="00252C45">
            <w:pPr>
              <w:spacing w:after="20"/>
              <w:rPr>
                <w:sz w:val="16"/>
                <w:szCs w:val="16"/>
              </w:rPr>
            </w:pPr>
            <w:r w:rsidRPr="005F2350">
              <w:rPr>
                <w:sz w:val="16"/>
                <w:szCs w:val="16"/>
              </w:rPr>
              <w:t xml:space="preserve">6. Epstein M, Reaven NL, Funk SE, McGaughey KJ, Oestreicher N, Knispel J. Evaluation of the Treatment Gap Between Clinical Guidelines and the Utilization of Renin–Angiotensin–Aldosterone System Inhibitors. The American Journal of Managed Care. 2015;21(11 </w:t>
            </w:r>
            <w:proofErr w:type="spellStart"/>
            <w:r w:rsidRPr="005F2350">
              <w:rPr>
                <w:sz w:val="16"/>
                <w:szCs w:val="16"/>
              </w:rPr>
              <w:t>Suppl</w:t>
            </w:r>
            <w:proofErr w:type="spellEnd"/>
            <w:proofErr w:type="gramStart"/>
            <w:r w:rsidRPr="005F2350">
              <w:rPr>
                <w:sz w:val="16"/>
                <w:szCs w:val="16"/>
              </w:rPr>
              <w:t>):S</w:t>
            </w:r>
            <w:proofErr w:type="gramEnd"/>
            <w:r w:rsidRPr="005F2350">
              <w:rPr>
                <w:sz w:val="16"/>
                <w:szCs w:val="16"/>
              </w:rPr>
              <w:t>212–20.</w:t>
            </w:r>
          </w:p>
          <w:p w14:paraId="4FCFFE27" w14:textId="77777777" w:rsidR="00252C45" w:rsidRPr="005F2350" w:rsidRDefault="00252C45">
            <w:pPr>
              <w:spacing w:after="20"/>
              <w:rPr>
                <w:sz w:val="16"/>
                <w:szCs w:val="16"/>
              </w:rPr>
            </w:pPr>
            <w:r w:rsidRPr="005F2350">
              <w:rPr>
                <w:sz w:val="16"/>
                <w:szCs w:val="16"/>
              </w:rPr>
              <w:t xml:space="preserve">7. Linde C, </w:t>
            </w:r>
            <w:proofErr w:type="spellStart"/>
            <w:r w:rsidRPr="005F2350">
              <w:rPr>
                <w:sz w:val="16"/>
                <w:szCs w:val="16"/>
              </w:rPr>
              <w:t>Bakhai</w:t>
            </w:r>
            <w:proofErr w:type="spellEnd"/>
            <w:r w:rsidRPr="005F2350">
              <w:rPr>
                <w:sz w:val="16"/>
                <w:szCs w:val="16"/>
              </w:rPr>
              <w:t xml:space="preserve"> A, </w:t>
            </w:r>
            <w:proofErr w:type="spellStart"/>
            <w:r w:rsidRPr="005F2350">
              <w:rPr>
                <w:sz w:val="16"/>
                <w:szCs w:val="16"/>
              </w:rPr>
              <w:t>Furuland</w:t>
            </w:r>
            <w:proofErr w:type="spellEnd"/>
            <w:r w:rsidRPr="005F2350">
              <w:rPr>
                <w:sz w:val="16"/>
                <w:szCs w:val="16"/>
              </w:rPr>
              <w:t xml:space="preserve"> H, Evans M, McEwan P, </w:t>
            </w:r>
            <w:proofErr w:type="spellStart"/>
            <w:r w:rsidRPr="005F2350">
              <w:rPr>
                <w:sz w:val="16"/>
                <w:szCs w:val="16"/>
              </w:rPr>
              <w:t>Ayoubkhani</w:t>
            </w:r>
            <w:proofErr w:type="spellEnd"/>
            <w:r w:rsidRPr="005F2350">
              <w:rPr>
                <w:sz w:val="16"/>
                <w:szCs w:val="16"/>
              </w:rPr>
              <w:t xml:space="preserve"> D, et al. Real-World Associations of Renin–Angiotensin–Aldosterone System Inhibitor Dose, </w:t>
            </w:r>
            <w:proofErr w:type="spellStart"/>
            <w:r w:rsidRPr="005F2350">
              <w:rPr>
                <w:sz w:val="16"/>
                <w:szCs w:val="16"/>
              </w:rPr>
              <w:t>Hyperkalemia</w:t>
            </w:r>
            <w:proofErr w:type="spellEnd"/>
            <w:r w:rsidRPr="005F2350">
              <w:rPr>
                <w:sz w:val="16"/>
                <w:szCs w:val="16"/>
              </w:rPr>
              <w:t xml:space="preserve">, and Adverse Clinical Outcomes in a Cohort of Patients </w:t>
            </w:r>
            <w:proofErr w:type="gramStart"/>
            <w:r w:rsidRPr="005F2350">
              <w:rPr>
                <w:sz w:val="16"/>
                <w:szCs w:val="16"/>
              </w:rPr>
              <w:t>With</w:t>
            </w:r>
            <w:proofErr w:type="gramEnd"/>
            <w:r w:rsidRPr="005F2350">
              <w:rPr>
                <w:sz w:val="16"/>
                <w:szCs w:val="16"/>
              </w:rPr>
              <w:t xml:space="preserve"> New-Onset Chronic Kidney Disease or Heart Failure in the United Kingdom. Journal of the American Heart Association. 2019;8(22</w:t>
            </w:r>
            <w:proofErr w:type="gramStart"/>
            <w:r w:rsidRPr="005F2350">
              <w:rPr>
                <w:sz w:val="16"/>
                <w:szCs w:val="16"/>
              </w:rPr>
              <w:t>):e</w:t>
            </w:r>
            <w:proofErr w:type="gramEnd"/>
            <w:r w:rsidRPr="005F2350">
              <w:rPr>
                <w:sz w:val="16"/>
                <w:szCs w:val="16"/>
              </w:rPr>
              <w:t>012655.</w:t>
            </w:r>
          </w:p>
          <w:p w14:paraId="79560065" w14:textId="56460087" w:rsidR="00252C45" w:rsidRPr="005F2350" w:rsidRDefault="00252C45">
            <w:pPr>
              <w:spacing w:after="20"/>
              <w:rPr>
                <w:sz w:val="16"/>
                <w:szCs w:val="16"/>
              </w:rPr>
            </w:pPr>
            <w:r w:rsidRPr="005F2350">
              <w:rPr>
                <w:sz w:val="16"/>
                <w:szCs w:val="16"/>
              </w:rPr>
              <w:t xml:space="preserve">8. Leon SJ, Whitlock R, </w:t>
            </w:r>
            <w:proofErr w:type="spellStart"/>
            <w:r w:rsidRPr="005F2350">
              <w:rPr>
                <w:sz w:val="16"/>
                <w:szCs w:val="16"/>
              </w:rPr>
              <w:t>Rigatto</w:t>
            </w:r>
            <w:proofErr w:type="spellEnd"/>
            <w:r w:rsidRPr="005F2350">
              <w:rPr>
                <w:sz w:val="16"/>
                <w:szCs w:val="16"/>
              </w:rPr>
              <w:t xml:space="preserve"> C, Komenda P, Bohm C, Sucha E, et al. </w:t>
            </w:r>
            <w:proofErr w:type="spellStart"/>
            <w:r w:rsidRPr="005F2350">
              <w:rPr>
                <w:sz w:val="16"/>
                <w:szCs w:val="16"/>
              </w:rPr>
              <w:t>Hyperkalemia</w:t>
            </w:r>
            <w:proofErr w:type="spellEnd"/>
            <w:r w:rsidRPr="005F2350">
              <w:rPr>
                <w:sz w:val="16"/>
                <w:szCs w:val="16"/>
              </w:rPr>
              <w:t>-Related Discontinuation of Renin–Angiotensin–Aldosterone System Inhibitors and Clinical Outcomes in CKD: A Population-Based Cohort Study. American Journal of Kidney Diseases. 2022;80(2):164–</w:t>
            </w:r>
            <w:proofErr w:type="gramStart"/>
            <w:r w:rsidRPr="005F2350">
              <w:rPr>
                <w:sz w:val="16"/>
                <w:szCs w:val="16"/>
              </w:rPr>
              <w:t>73.e</w:t>
            </w:r>
            <w:proofErr w:type="gramEnd"/>
            <w:r w:rsidRPr="005F2350">
              <w:rPr>
                <w:sz w:val="16"/>
                <w:szCs w:val="16"/>
              </w:rPr>
              <w:t>1.</w:t>
            </w:r>
          </w:p>
          <w:p w14:paraId="735A27E9" w14:textId="0B36616F" w:rsidR="00252C45" w:rsidRDefault="00252C45">
            <w:pPr>
              <w:rPr>
                <w:sz w:val="14"/>
                <w:szCs w:val="14"/>
              </w:rPr>
            </w:pPr>
          </w:p>
        </w:tc>
      </w:tr>
    </w:tbl>
    <w:p w14:paraId="1346F8AA" w14:textId="288429BA" w:rsidR="00B34F6D" w:rsidRDefault="00CC2FAD" w:rsidP="00123E4F">
      <w:pPr>
        <w:tabs>
          <w:tab w:val="left" w:pos="3138"/>
        </w:tabs>
      </w:pPr>
      <w:r>
        <w:rPr>
          <w:noProof/>
        </w:rPr>
        <mc:AlternateContent>
          <mc:Choice Requires="wps">
            <w:drawing>
              <wp:anchor distT="0" distB="0" distL="114300" distR="114300" simplePos="0" relativeHeight="251659264" behindDoc="0" locked="0" layoutInCell="1" allowOverlap="1" wp14:anchorId="12414C65" wp14:editId="49F924EC">
                <wp:simplePos x="0" y="0"/>
                <wp:positionH relativeFrom="column">
                  <wp:posOffset>0</wp:posOffset>
                </wp:positionH>
                <wp:positionV relativeFrom="paragraph">
                  <wp:posOffset>0</wp:posOffset>
                </wp:positionV>
                <wp:extent cx="7197789" cy="227853"/>
                <wp:effectExtent l="0" t="0" r="0" b="0"/>
                <wp:wrapNone/>
                <wp:docPr id="3" name="Text Placeholder 2">
                  <a:extLst xmlns:a="http://schemas.openxmlformats.org/drawingml/2006/main">
                    <a:ext uri="{FF2B5EF4-FFF2-40B4-BE49-F238E27FC236}">
                      <a16:creationId xmlns:a16="http://schemas.microsoft.com/office/drawing/2014/main" id="{583976AF-7C15-821C-0713-E4012F8D51A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97789" cy="227853"/>
                        </a:xfrm>
                        <a:prstGeom prst="rect">
                          <a:avLst/>
                        </a:prstGeom>
                        <a:noFill/>
                      </wps:spPr>
                      <wps:bodyPr vert="horz" lIns="0" tIns="0" rIns="0" bIns="0" rtlCol="0">
                        <a:normAutofit/>
                      </wps:bodyPr>
                    </wps:wsp>
                  </a:graphicData>
                </a:graphic>
              </wp:anchor>
            </w:drawing>
          </mc:Choice>
          <mc:Fallback>
            <w:pict>
              <v:shapetype w14:anchorId="531EF382" id="_x0000_t202" coordsize="21600,21600" o:spt="202" path="m,l,21600r21600,l21600,xe">
                <v:stroke joinstyle="miter"/>
                <v:path gradientshapeok="t" o:connecttype="rect"/>
              </v:shapetype>
              <v:shape id="Text Placeholder 2" o:spid="_x0000_s1026" type="#_x0000_t202" style="position:absolute;margin-left:0;margin-top:0;width:566.75pt;height:17.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" filled="f" stroked="f">
                <v:textbox inset="0,0,0,0"/>
              </v:shape>
            </w:pict>
          </mc:Fallback>
        </mc:AlternateContent>
      </w:r>
      <w:r w:rsidR="00123E4F">
        <w:tab/>
      </w:r>
    </w:p>
    <w:p w14:paraId="5F700BF7" w14:textId="77777777" w:rsidR="00123E4F" w:rsidRDefault="00123E4F" w:rsidP="00123E4F">
      <w:pPr>
        <w:tabs>
          <w:tab w:val="left" w:pos="3138"/>
        </w:tabs>
      </w:pPr>
    </w:p>
    <w:p w14:paraId="4011541B" w14:textId="77777777" w:rsidR="00123E4F" w:rsidRDefault="00123E4F" w:rsidP="00123E4F">
      <w:pPr>
        <w:tabs>
          <w:tab w:val="left" w:pos="3138"/>
        </w:tabs>
      </w:pPr>
    </w:p>
    <w:p w14:paraId="6C4B77AF" w14:textId="77777777" w:rsidR="00977A21" w:rsidRDefault="00977A21" w:rsidP="00123E4F">
      <w:pPr>
        <w:tabs>
          <w:tab w:val="left" w:pos="3138"/>
        </w:tabs>
      </w:pPr>
    </w:p>
    <w:p w14:paraId="5224063A" w14:textId="77777777" w:rsidR="00977A21" w:rsidRDefault="00977A21" w:rsidP="00123E4F">
      <w:pPr>
        <w:tabs>
          <w:tab w:val="left" w:pos="3138"/>
        </w:tabs>
      </w:pPr>
    </w:p>
    <w:p w14:paraId="3909C838" w14:textId="77777777" w:rsidR="00977A21" w:rsidRDefault="00977A21" w:rsidP="00123E4F">
      <w:pPr>
        <w:tabs>
          <w:tab w:val="left" w:pos="3138"/>
        </w:tabs>
      </w:pPr>
    </w:p>
    <w:p w14:paraId="37EE4B14" w14:textId="6583C1B1" w:rsidR="00123E4F" w:rsidRDefault="00977A21" w:rsidP="00123E4F">
      <w:pPr>
        <w:tabs>
          <w:tab w:val="left" w:pos="3138"/>
        </w:tabs>
        <w:rPr>
          <w:b/>
          <w:bCs/>
          <w:sz w:val="28"/>
          <w:szCs w:val="28"/>
        </w:rPr>
      </w:pPr>
      <w:hyperlink r:id="rId6" w:history="1">
        <w:r w:rsidRPr="00977A21">
          <w:rPr>
            <w:rStyle w:val="Hyperlink"/>
            <w:b/>
            <w:bCs/>
            <w:sz w:val="28"/>
            <w:szCs w:val="28"/>
          </w:rPr>
          <w:t>Click here</w:t>
        </w:r>
      </w:hyperlink>
      <w:r w:rsidRPr="00977A21">
        <w:rPr>
          <w:b/>
          <w:bCs/>
          <w:sz w:val="28"/>
          <w:szCs w:val="28"/>
        </w:rPr>
        <w:t xml:space="preserve"> or scan the QR code to access the LOKELMA (sodium zirconium cyclosilicate) prescribing information.</w:t>
      </w:r>
    </w:p>
    <w:p w14:paraId="77B9E11E" w14:textId="0AAA82C3" w:rsidR="00977A21" w:rsidRDefault="00977A21" w:rsidP="00123E4F">
      <w:pPr>
        <w:tabs>
          <w:tab w:val="left" w:pos="3138"/>
        </w:tabs>
        <w:rPr>
          <w:b/>
          <w:bCs/>
          <w:sz w:val="28"/>
          <w:szCs w:val="28"/>
        </w:rPr>
      </w:pPr>
      <w:r w:rsidRPr="00977A21">
        <w:rPr>
          <w:b/>
          <w:bCs/>
          <w:noProof/>
          <w:sz w:val="28"/>
          <w:szCs w:val="28"/>
        </w:rPr>
        <w:drawing>
          <wp:anchor distT="0" distB="0" distL="114300" distR="114300" simplePos="0" relativeHeight="251661312" behindDoc="1" locked="0" layoutInCell="1" allowOverlap="1" wp14:anchorId="720EBC99" wp14:editId="57443EBD">
            <wp:simplePos x="0" y="0"/>
            <wp:positionH relativeFrom="column">
              <wp:posOffset>2267585</wp:posOffset>
            </wp:positionH>
            <wp:positionV relativeFrom="paragraph">
              <wp:posOffset>10160</wp:posOffset>
            </wp:positionV>
            <wp:extent cx="1871345" cy="1871345"/>
            <wp:effectExtent l="0" t="0" r="0" b="0"/>
            <wp:wrapTight wrapText="bothSides">
              <wp:wrapPolygon edited="0">
                <wp:start x="0" y="0"/>
                <wp:lineTo x="0" y="21329"/>
                <wp:lineTo x="21329" y="21329"/>
                <wp:lineTo x="21329" y="0"/>
                <wp:lineTo x="0" y="0"/>
              </wp:wrapPolygon>
            </wp:wrapTight>
            <wp:docPr id="1023217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1732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1345" cy="1871345"/>
                    </a:xfrm>
                    <a:prstGeom prst="rect">
                      <a:avLst/>
                    </a:prstGeom>
                  </pic:spPr>
                </pic:pic>
              </a:graphicData>
            </a:graphic>
            <wp14:sizeRelH relativeFrom="margin">
              <wp14:pctWidth>0</wp14:pctWidth>
            </wp14:sizeRelH>
            <wp14:sizeRelV relativeFrom="margin">
              <wp14:pctHeight>0</wp14:pctHeight>
            </wp14:sizeRelV>
          </wp:anchor>
        </w:drawing>
      </w:r>
    </w:p>
    <w:p w14:paraId="24BBFE8A" w14:textId="2EF880A1" w:rsidR="00977A21" w:rsidRDefault="00977A21" w:rsidP="00123E4F">
      <w:pPr>
        <w:tabs>
          <w:tab w:val="left" w:pos="3138"/>
        </w:tabs>
        <w:rPr>
          <w:b/>
          <w:bCs/>
          <w:sz w:val="28"/>
          <w:szCs w:val="28"/>
        </w:rPr>
      </w:pPr>
    </w:p>
    <w:p w14:paraId="1088694D" w14:textId="61851F5D" w:rsidR="00977A21" w:rsidRPr="00977A21" w:rsidRDefault="00977A21" w:rsidP="00123E4F">
      <w:pPr>
        <w:tabs>
          <w:tab w:val="left" w:pos="3138"/>
        </w:tabs>
        <w:rPr>
          <w:b/>
          <w:bCs/>
          <w:sz w:val="28"/>
          <w:szCs w:val="28"/>
        </w:rPr>
      </w:pPr>
      <w:r w:rsidRPr="00977A21">
        <w:rPr>
          <w:b/>
          <w:bCs/>
          <w:noProof/>
          <w:sz w:val="28"/>
          <w:szCs w:val="28"/>
        </w:rPr>
        <mc:AlternateContent>
          <mc:Choice Requires="wps">
            <w:drawing>
              <wp:anchor distT="0" distB="0" distL="114300" distR="114300" simplePos="0" relativeHeight="251660288" behindDoc="0" locked="0" layoutInCell="1" allowOverlap="1" wp14:anchorId="55969ECF" wp14:editId="0F8FFEEE">
                <wp:simplePos x="0" y="0"/>
                <wp:positionH relativeFrom="margin">
                  <wp:posOffset>-146266</wp:posOffset>
                </wp:positionH>
                <wp:positionV relativeFrom="paragraph">
                  <wp:posOffset>1379999</wp:posOffset>
                </wp:positionV>
                <wp:extent cx="6635692" cy="631190"/>
                <wp:effectExtent l="0" t="0" r="13335" b="16510"/>
                <wp:wrapNone/>
                <wp:docPr id="4" name="Rectangle 3">
                  <a:extLst xmlns:a="http://schemas.openxmlformats.org/drawingml/2006/main">
                    <a:ext uri="{FF2B5EF4-FFF2-40B4-BE49-F238E27FC236}">
                      <a16:creationId xmlns:a16="http://schemas.microsoft.com/office/drawing/2014/main" id="{9FF1A52C-CBE6-34BC-9F5B-A633A154CD08}"/>
                    </a:ext>
                  </a:extLst>
                </wp:docPr>
                <wp:cNvGraphicFramePr/>
                <a:graphic xmlns:a="http://schemas.openxmlformats.org/drawingml/2006/main">
                  <a:graphicData uri="http://schemas.microsoft.com/office/word/2010/wordprocessingShape">
                    <wps:wsp>
                      <wps:cNvSpPr/>
                      <wps:spPr>
                        <a:xfrm>
                          <a:off x="0" y="0"/>
                          <a:ext cx="6635692" cy="631190"/>
                        </a:xfrm>
                        <a:prstGeom prst="rect">
                          <a:avLst/>
                        </a:prstGeom>
                        <a:noFill/>
                        <a:ln w="12700" cap="flat" cmpd="sng" algn="ctr">
                          <a:solidFill>
                            <a:srgbClr val="3F4444"/>
                          </a:solidFill>
                          <a:prstDash val="solid"/>
                          <a:miter lim="800000"/>
                        </a:ln>
                        <a:effectLst/>
                        <a:extLst>
                          <a:ext uri="{909E8E84-426E-40DD-AFC4-6F175D3DCCD1}">
                            <a14:hiddenFill xmlns:a14="http://schemas.microsoft.com/office/drawing/2010/main">
                              <a:solidFill>
                                <a:schemeClr val="accent1"/>
                              </a:solidFill>
                            </a14:hiddenFill>
                          </a:ext>
                        </a:extLst>
                      </wps:spPr>
                      <wps:style>
                        <a:lnRef idx="2">
                          <a:schemeClr val="accent1">
                            <a:shade val="50000"/>
                          </a:schemeClr>
                        </a:lnRef>
                        <a:fillRef idx="1">
                          <a:schemeClr val="accent1"/>
                        </a:fillRef>
                        <a:effectRef idx="0">
                          <a:schemeClr val="accent1"/>
                        </a:effectRef>
                        <a:fontRef idx="minor">
                          <a:schemeClr val="lt1"/>
                        </a:fontRef>
                      </wps:style>
                      <wps:txbx>
                        <w:txbxContent>
                          <w:p w14:paraId="388F6743" w14:textId="7C1C91B0" w:rsidR="00CC2FAD" w:rsidRPr="00820532" w:rsidRDefault="00CC2FAD" w:rsidP="00CC2FAD">
                            <w:pPr>
                              <w:jc w:val="center"/>
                              <w:textAlignment w:val="baseline"/>
                              <w:rPr>
                                <w:rFonts w:hAnsi="Aptos"/>
                                <w:b/>
                                <w:bCs/>
                                <w:color w:val="333333"/>
                                <w:kern w:val="24"/>
                                <w:sz w:val="18"/>
                                <w:szCs w:val="18"/>
                                <w14:ligatures w14:val="none"/>
                              </w:rPr>
                            </w:pPr>
                            <w:r w:rsidRPr="00820532">
                              <w:rPr>
                                <w:rFonts w:hAnsi="Aptos"/>
                                <w:b/>
                                <w:bCs/>
                                <w:color w:val="333333"/>
                                <w:kern w:val="24"/>
                                <w:sz w:val="18"/>
                                <w:szCs w:val="18"/>
                              </w:rPr>
                              <w:t xml:space="preserve">Adverse events should be reported. Reporting forms and information can be found at </w:t>
                            </w:r>
                            <w:hyperlink r:id="rId8" w:history="1">
                              <w:r w:rsidRPr="00820532">
                                <w:rPr>
                                  <w:rStyle w:val="Hyperlink"/>
                                  <w:rFonts w:hAnsi="Aptos"/>
                                  <w:b/>
                                  <w:bCs/>
                                  <w:color w:val="333333"/>
                                  <w:kern w:val="24"/>
                                  <w:sz w:val="18"/>
                                  <w:szCs w:val="18"/>
                                </w:rPr>
                                <w:t>www.mhra.gov.uk/yellowcard</w:t>
                              </w:r>
                            </w:hyperlink>
                            <w:r w:rsidRPr="00820532">
                              <w:rPr>
                                <w:rFonts w:hAnsi="Aptos"/>
                                <w:b/>
                                <w:bCs/>
                                <w:color w:val="333333"/>
                                <w:kern w:val="24"/>
                                <w:sz w:val="18"/>
                                <w:szCs w:val="18"/>
                              </w:rPr>
                              <w:t xml:space="preserve"> or search for MHRA Yellow Card in the Google Play or Apple App store. Adverse events should also be reported to AstraZeneca by visiting </w:t>
                            </w:r>
                            <w:hyperlink r:id="rId9" w:history="1">
                              <w:r w:rsidRPr="00820532">
                                <w:rPr>
                                  <w:rStyle w:val="Hyperlink"/>
                                  <w:rFonts w:hAnsi="Aptos"/>
                                  <w:b/>
                                  <w:bCs/>
                                  <w:color w:val="333333"/>
                                  <w:kern w:val="24"/>
                                  <w:sz w:val="18"/>
                                  <w:szCs w:val="18"/>
                                </w:rPr>
                                <w:t>https://contactazmedical.astrazeneca.com</w:t>
                              </w:r>
                            </w:hyperlink>
                            <w:r w:rsidRPr="00820532">
                              <w:rPr>
                                <w:rFonts w:hAnsi="Aptos"/>
                                <w:b/>
                                <w:bCs/>
                                <w:color w:val="333333"/>
                                <w:kern w:val="24"/>
                                <w:sz w:val="18"/>
                                <w:szCs w:val="18"/>
                              </w:rPr>
                              <w:t xml:space="preserve"> or by calling 0800 783 0033.</w:t>
                            </w:r>
                          </w:p>
                        </w:txbxContent>
                      </wps:txbx>
                      <wps:bodyPr wrap="square" rtlCol="0" anchor="ctr"/>
                    </wps:wsp>
                  </a:graphicData>
                </a:graphic>
                <wp14:sizeRelH relativeFrom="margin">
                  <wp14:pctWidth>0</wp14:pctWidth>
                </wp14:sizeRelH>
              </wp:anchor>
            </w:drawing>
          </mc:Choice>
          <mc:Fallback>
            <w:pict>
              <v:rect w14:anchorId="55969ECF" id="Rectangle 3" o:spid="_x0000_s1026" style="position:absolute;margin-left:-11.5pt;margin-top:108.65pt;width:522.5pt;height:49.7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" filled="f" fillcolor="#156082 [3204]" strokecolor="#3f4444" strokeweight="1pt">
                <v:textbox>
                  <w:txbxContent>
                    <w:p w14:paraId="388F6743" w14:textId="7C1C91B0" w:rsidR="00CC2FAD" w:rsidRPr="00820532" w:rsidRDefault="00CC2FAD" w:rsidP="00CC2FAD">
                      <w:pPr>
                        <w:jc w:val="center"/>
                        <w:textAlignment w:val="baseline"/>
                        <w:rPr>
                          <w:rFonts w:hAnsi="Aptos"/>
                          <w:b/>
                          <w:bCs/>
                          <w:color w:val="333333"/>
                          <w:kern w:val="24"/>
                          <w:sz w:val="18"/>
                          <w:szCs w:val="18"/>
                          <w14:ligatures w14:val="none"/>
                        </w:rPr>
                      </w:pPr>
                      <w:r w:rsidRPr="00820532">
                        <w:rPr>
                          <w:rFonts w:hAnsi="Aptos"/>
                          <w:b/>
                          <w:bCs/>
                          <w:color w:val="333333"/>
                          <w:kern w:val="24"/>
                          <w:sz w:val="18"/>
                          <w:szCs w:val="18"/>
                        </w:rPr>
                        <w:t xml:space="preserve">Adverse events should be reported. Reporting forms and information can be found at </w:t>
                      </w:r>
                      <w:hyperlink r:id="rId10" w:history="1">
                        <w:r w:rsidRPr="00820532">
                          <w:rPr>
                            <w:rStyle w:val="Hyperlink"/>
                            <w:rFonts w:hAnsi="Aptos"/>
                            <w:b/>
                            <w:bCs/>
                            <w:color w:val="333333"/>
                            <w:kern w:val="24"/>
                            <w:sz w:val="18"/>
                            <w:szCs w:val="18"/>
                          </w:rPr>
                          <w:t>www.mhra.gov.uk/yellowcard</w:t>
                        </w:r>
                      </w:hyperlink>
                      <w:r w:rsidRPr="00820532">
                        <w:rPr>
                          <w:rFonts w:hAnsi="Aptos"/>
                          <w:b/>
                          <w:bCs/>
                          <w:color w:val="333333"/>
                          <w:kern w:val="24"/>
                          <w:sz w:val="18"/>
                          <w:szCs w:val="18"/>
                        </w:rPr>
                        <w:t xml:space="preserve"> or search for MHRA Yellow Card in the Google Play or Apple App store. Adverse events should also be reported to AstraZeneca by visiting </w:t>
                      </w:r>
                      <w:hyperlink r:id="rId11" w:history="1">
                        <w:r w:rsidRPr="00820532">
                          <w:rPr>
                            <w:rStyle w:val="Hyperlink"/>
                            <w:rFonts w:hAnsi="Aptos"/>
                            <w:b/>
                            <w:bCs/>
                            <w:color w:val="333333"/>
                            <w:kern w:val="24"/>
                            <w:sz w:val="18"/>
                            <w:szCs w:val="18"/>
                          </w:rPr>
                          <w:t>https://contactazmedical.astrazeneca.com</w:t>
                        </w:r>
                      </w:hyperlink>
                      <w:r w:rsidRPr="00820532">
                        <w:rPr>
                          <w:rFonts w:hAnsi="Aptos"/>
                          <w:b/>
                          <w:bCs/>
                          <w:color w:val="333333"/>
                          <w:kern w:val="24"/>
                          <w:sz w:val="18"/>
                          <w:szCs w:val="18"/>
                        </w:rPr>
                        <w:t xml:space="preserve"> or by calling 0800 783 0033.</w:t>
                      </w:r>
                    </w:p>
                  </w:txbxContent>
                </v:textbox>
                <w10:wrap anchorx="margin"/>
              </v:rect>
            </w:pict>
          </mc:Fallback>
        </mc:AlternateContent>
      </w:r>
    </w:p>
    <w:sectPr w:rsidR="00977A21" w:rsidRPr="00977A21" w:rsidSect="00252C45">
      <w:headerReference w:type="default" r:id="rId12"/>
      <w:footerReference w:type="default" r:id="rId13"/>
      <w:pgSz w:w="11907" w:h="16839"/>
      <w:pgMar w:top="720" w:right="720" w:bottom="720" w:left="720" w:header="360"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C1A95" w14:textId="77777777" w:rsidR="00EA62B9" w:rsidRDefault="00EA62B9" w:rsidP="004210BF">
      <w:pPr>
        <w:spacing w:after="0" w:line="240" w:lineRule="auto"/>
      </w:pPr>
      <w:r>
        <w:separator/>
      </w:r>
    </w:p>
  </w:endnote>
  <w:endnote w:type="continuationSeparator" w:id="0">
    <w:p w14:paraId="1D9A51DA" w14:textId="77777777" w:rsidR="00EA62B9" w:rsidRDefault="00EA62B9" w:rsidP="00421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D5B52" w14:textId="25FE090A" w:rsidR="000B589B" w:rsidRPr="000B589B" w:rsidRDefault="000B589B" w:rsidP="000B589B">
    <w:pPr>
      <w:pStyle w:val="Footer"/>
      <w:rPr>
        <w:sz w:val="22"/>
        <w:szCs w:val="22"/>
      </w:rPr>
    </w:pPr>
    <w:r w:rsidRPr="000B589B">
      <w:rPr>
        <w:noProof/>
        <w:sz w:val="22"/>
        <w:szCs w:val="22"/>
      </w:rPr>
      <w:drawing>
        <wp:anchor distT="0" distB="0" distL="114300" distR="114300" simplePos="0" relativeHeight="251658240" behindDoc="0" locked="0" layoutInCell="1" allowOverlap="1" wp14:anchorId="7F709AF2" wp14:editId="6019FD89">
          <wp:simplePos x="0" y="0"/>
          <wp:positionH relativeFrom="column">
            <wp:posOffset>5305518</wp:posOffset>
          </wp:positionH>
          <wp:positionV relativeFrom="paragraph">
            <wp:posOffset>-238737</wp:posOffset>
          </wp:positionV>
          <wp:extent cx="1404632" cy="566312"/>
          <wp:effectExtent l="0" t="0" r="5080" b="5715"/>
          <wp:wrapNone/>
          <wp:docPr id="45815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157143" name=""/>
                  <pic:cNvPicPr/>
                </pic:nvPicPr>
                <pic:blipFill>
                  <a:blip r:embed="rId1">
                    <a:extLst>
                      <a:ext uri="{28A0092B-C50C-407E-A947-70E740481C1C}">
                        <a14:useLocalDpi xmlns:a14="http://schemas.microsoft.com/office/drawing/2010/main" val="0"/>
                      </a:ext>
                    </a:extLst>
                  </a:blip>
                  <a:stretch>
                    <a:fillRect/>
                  </a:stretch>
                </pic:blipFill>
                <pic:spPr>
                  <a:xfrm>
                    <a:off x="0" y="0"/>
                    <a:ext cx="1404632" cy="566312"/>
                  </a:xfrm>
                  <a:prstGeom prst="rect">
                    <a:avLst/>
                  </a:prstGeom>
                </pic:spPr>
              </pic:pic>
            </a:graphicData>
          </a:graphic>
          <wp14:sizeRelH relativeFrom="margin">
            <wp14:pctWidth>0</wp14:pctWidth>
          </wp14:sizeRelH>
          <wp14:sizeRelV relativeFrom="margin">
            <wp14:pctHeight>0</wp14:pctHeight>
          </wp14:sizeRelV>
        </wp:anchor>
      </w:drawing>
    </w:r>
    <w:r w:rsidR="00CC0F31" w:rsidRPr="00CC0F31">
      <w:rPr>
        <w:sz w:val="22"/>
        <w:szCs w:val="22"/>
      </w:rPr>
      <w:t>GB-</w:t>
    </w:r>
    <w:proofErr w:type="gramStart"/>
    <w:r w:rsidR="00CC0F31" w:rsidRPr="00CC0F31">
      <w:rPr>
        <w:sz w:val="22"/>
        <w:szCs w:val="22"/>
      </w:rPr>
      <w:t>81758</w:t>
    </w:r>
    <w:r w:rsidR="00CC0F31">
      <w:rPr>
        <w:sz w:val="22"/>
        <w:szCs w:val="22"/>
      </w:rPr>
      <w:t xml:space="preserve"> </w:t>
    </w:r>
    <w:r w:rsidRPr="000B589B">
      <w:rPr>
        <w:sz w:val="22"/>
        <w:szCs w:val="22"/>
      </w:rPr>
      <w:t xml:space="preserve"> October</w:t>
    </w:r>
    <w:proofErr w:type="gramEnd"/>
    <w:r w:rsidRPr="000B589B">
      <w:rPr>
        <w:sz w:val="22"/>
        <w:szCs w:val="22"/>
      </w:rPr>
      <w:t xml:space="preserve"> 2026  </w:t>
    </w:r>
  </w:p>
  <w:p w14:paraId="7FF55667" w14:textId="77777777" w:rsidR="004210BF" w:rsidRDefault="004210BF">
    <w:pPr>
      <w:pStyle w:val="Footer"/>
    </w:pPr>
  </w:p>
  <w:p w14:paraId="454A8390" w14:textId="77777777" w:rsidR="00123E4F" w:rsidRDefault="00123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C2BF5" w14:textId="77777777" w:rsidR="00EA62B9" w:rsidRDefault="00EA62B9" w:rsidP="004210BF">
      <w:pPr>
        <w:spacing w:after="0" w:line="240" w:lineRule="auto"/>
      </w:pPr>
      <w:r>
        <w:separator/>
      </w:r>
    </w:p>
  </w:footnote>
  <w:footnote w:type="continuationSeparator" w:id="0">
    <w:p w14:paraId="59A237B4" w14:textId="77777777" w:rsidR="00EA62B9" w:rsidRDefault="00EA62B9" w:rsidP="004210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D91FF" w14:textId="16FC7579" w:rsidR="00CC2FAD" w:rsidRDefault="00252C45" w:rsidP="004210BF">
    <w:pPr>
      <w:pStyle w:val="Header"/>
      <w:jc w:val="center"/>
      <w:rPr>
        <w:rFonts w:ascii="Aptos" w:hAnsi="Aptos"/>
        <w:b/>
        <w:bCs/>
        <w:sz w:val="18"/>
        <w:szCs w:val="18"/>
      </w:rPr>
    </w:pPr>
    <w:r w:rsidRPr="00CC2FAD">
      <w:rPr>
        <w:rFonts w:ascii="Aptos" w:hAnsi="Aptos"/>
        <w:b/>
        <w:bCs/>
        <w:sz w:val="18"/>
        <w:szCs w:val="18"/>
      </w:rPr>
      <w:t>This</w:t>
    </w:r>
    <w:r w:rsidR="00CC2FAD">
      <w:rPr>
        <w:rFonts w:ascii="Aptos" w:hAnsi="Aptos"/>
        <w:b/>
        <w:bCs/>
        <w:sz w:val="18"/>
        <w:szCs w:val="18"/>
      </w:rPr>
      <w:t xml:space="preserve"> document</w:t>
    </w:r>
    <w:r w:rsidRPr="00CC2FAD">
      <w:rPr>
        <w:rFonts w:ascii="Aptos" w:hAnsi="Aptos"/>
        <w:b/>
        <w:bCs/>
        <w:sz w:val="18"/>
        <w:szCs w:val="18"/>
      </w:rPr>
      <w:t xml:space="preserve"> was developed by a multi-disciplinary panel of experts, comprising cardiologists, nephrologists, general practitioners, and specialist nurses, in collaboration with and funded by AstraZeneca. </w:t>
    </w:r>
  </w:p>
  <w:p w14:paraId="7B8FACB6" w14:textId="22C6FBBB" w:rsidR="004314BF" w:rsidRPr="004314BF" w:rsidRDefault="004314BF" w:rsidP="004314BF">
    <w:pPr>
      <w:pStyle w:val="Header"/>
      <w:jc w:val="center"/>
      <w:rPr>
        <w:rFonts w:ascii="Aptos" w:hAnsi="Aptos"/>
        <w:b/>
        <w:bCs/>
        <w:sz w:val="18"/>
        <w:szCs w:val="18"/>
      </w:rPr>
    </w:pPr>
    <w:r w:rsidRPr="004314BF">
      <w:rPr>
        <w:rFonts w:ascii="Aptos" w:hAnsi="Aptos"/>
        <w:b/>
        <w:bCs/>
        <w:sz w:val="18"/>
        <w:szCs w:val="18"/>
      </w:rPr>
      <w:t>This resource is intended for UK Health Care Professionals only</w:t>
    </w:r>
    <w:r>
      <w:rPr>
        <w:rFonts w:ascii="Aptos" w:hAnsi="Aptos"/>
        <w:b/>
        <w:bCs/>
        <w:sz w:val="18"/>
        <w:szCs w:val="18"/>
      </w:rPr>
      <w:t>.</w:t>
    </w:r>
  </w:p>
  <w:p w14:paraId="539307F0" w14:textId="2797620D" w:rsidR="004314BF" w:rsidRPr="00CC2FAD" w:rsidRDefault="004314BF" w:rsidP="004210BF">
    <w:pPr>
      <w:pStyle w:val="Header"/>
      <w:jc w:val="center"/>
      <w:rPr>
        <w:rFonts w:ascii="Aptos" w:hAnsi="Aptos"/>
        <w:b/>
        <w:bCs/>
        <w:sz w:val="18"/>
        <w:szCs w:val="18"/>
      </w:rPr>
    </w:pPr>
    <w:r>
      <w:rPr>
        <w:rFonts w:ascii="Aptos" w:hAnsi="Aptos"/>
        <w:b/>
        <w:bCs/>
        <w:sz w:val="18"/>
        <w:szCs w:val="18"/>
      </w:rPr>
      <w:t>This document should not be edited except for completion of required fields.</w:t>
    </w:r>
  </w:p>
  <w:p w14:paraId="269247E0" w14:textId="1FBE023A" w:rsidR="00CC2FAD" w:rsidRPr="00CC2FAD" w:rsidRDefault="00CC2FAD" w:rsidP="00123E4F">
    <w:pPr>
      <w:pStyle w:val="Header"/>
      <w:jc w:val="center"/>
      <w:rPr>
        <w:b/>
        <w:bCs/>
        <w:sz w:val="18"/>
        <w:szCs w:val="18"/>
      </w:rPr>
    </w:pPr>
    <w:r w:rsidRPr="00CC2FAD">
      <w:rPr>
        <w:b/>
        <w:bCs/>
        <w:sz w:val="18"/>
        <w:szCs w:val="18"/>
      </w:rPr>
      <w:t xml:space="preserve">Prescribing information </w:t>
    </w:r>
    <w:r w:rsidR="00CC0F31">
      <w:rPr>
        <w:b/>
        <w:bCs/>
        <w:sz w:val="18"/>
        <w:szCs w:val="18"/>
      </w:rPr>
      <w:t xml:space="preserve">for </w:t>
    </w:r>
    <w:r w:rsidR="00CC0F31" w:rsidRPr="00CC2FAD">
      <w:rPr>
        <w:b/>
        <w:bCs/>
        <w:sz w:val="18"/>
        <w:szCs w:val="18"/>
      </w:rPr>
      <w:t>LOKELMA</w:t>
    </w:r>
    <w:r w:rsidRPr="00CC2FAD">
      <w:rPr>
        <w:b/>
        <w:bCs/>
        <w:sz w:val="18"/>
        <w:szCs w:val="18"/>
      </w:rPr>
      <w:t xml:space="preserve"> (sodium zirconium cyclosilicate)</w:t>
    </w:r>
    <w:r w:rsidR="00123E4F">
      <w:rPr>
        <w:b/>
        <w:bCs/>
        <w:sz w:val="18"/>
        <w:szCs w:val="18"/>
      </w:rPr>
      <w:t xml:space="preserve"> and adverse event reporting information can be found at the end of this document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E46"/>
    <w:rsid w:val="000B589B"/>
    <w:rsid w:val="000E0E37"/>
    <w:rsid w:val="00123E4F"/>
    <w:rsid w:val="00126A27"/>
    <w:rsid w:val="00252C45"/>
    <w:rsid w:val="003B3CBB"/>
    <w:rsid w:val="003E5D1C"/>
    <w:rsid w:val="00411EE2"/>
    <w:rsid w:val="00412DFE"/>
    <w:rsid w:val="004210BF"/>
    <w:rsid w:val="004314BF"/>
    <w:rsid w:val="00471F5D"/>
    <w:rsid w:val="0053131E"/>
    <w:rsid w:val="005F2350"/>
    <w:rsid w:val="00634793"/>
    <w:rsid w:val="008016BF"/>
    <w:rsid w:val="00811F75"/>
    <w:rsid w:val="008122E2"/>
    <w:rsid w:val="00820532"/>
    <w:rsid w:val="00977A21"/>
    <w:rsid w:val="00A814E6"/>
    <w:rsid w:val="00AB3E46"/>
    <w:rsid w:val="00B34F6D"/>
    <w:rsid w:val="00C22509"/>
    <w:rsid w:val="00CC0F31"/>
    <w:rsid w:val="00CC2FAD"/>
    <w:rsid w:val="00E52DDF"/>
    <w:rsid w:val="00E53D5C"/>
    <w:rsid w:val="00EA62B9"/>
    <w:rsid w:val="00FC4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F4C4B"/>
  <w15:chartTrackingRefBased/>
  <w15:docId w15:val="{4A8DF69A-476E-487D-A840-401CBD60E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3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3E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3E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3E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3E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3E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3E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3E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E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3E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3E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3E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3E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3E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3E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3E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3E46"/>
    <w:rPr>
      <w:rFonts w:eastAsiaTheme="majorEastAsia" w:cstheme="majorBidi"/>
      <w:color w:val="272727" w:themeColor="text1" w:themeTint="D8"/>
    </w:rPr>
  </w:style>
  <w:style w:type="paragraph" w:styleId="Title">
    <w:name w:val="Title"/>
    <w:basedOn w:val="Normal"/>
    <w:next w:val="Normal"/>
    <w:link w:val="TitleChar"/>
    <w:uiPriority w:val="10"/>
    <w:qFormat/>
    <w:rsid w:val="00AB3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E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E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3E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3E46"/>
    <w:pPr>
      <w:spacing w:before="160"/>
      <w:jc w:val="center"/>
    </w:pPr>
    <w:rPr>
      <w:i/>
      <w:iCs/>
      <w:color w:val="404040" w:themeColor="text1" w:themeTint="BF"/>
    </w:rPr>
  </w:style>
  <w:style w:type="character" w:customStyle="1" w:styleId="QuoteChar">
    <w:name w:val="Quote Char"/>
    <w:basedOn w:val="DefaultParagraphFont"/>
    <w:link w:val="Quote"/>
    <w:uiPriority w:val="29"/>
    <w:rsid w:val="00AB3E46"/>
    <w:rPr>
      <w:i/>
      <w:iCs/>
      <w:color w:val="404040" w:themeColor="text1" w:themeTint="BF"/>
    </w:rPr>
  </w:style>
  <w:style w:type="paragraph" w:styleId="ListParagraph">
    <w:name w:val="List Paragraph"/>
    <w:basedOn w:val="Normal"/>
    <w:uiPriority w:val="34"/>
    <w:qFormat/>
    <w:rsid w:val="00AB3E46"/>
    <w:pPr>
      <w:ind w:left="720"/>
      <w:contextualSpacing/>
    </w:pPr>
  </w:style>
  <w:style w:type="character" w:styleId="IntenseEmphasis">
    <w:name w:val="Intense Emphasis"/>
    <w:basedOn w:val="DefaultParagraphFont"/>
    <w:uiPriority w:val="21"/>
    <w:qFormat/>
    <w:rsid w:val="00AB3E46"/>
    <w:rPr>
      <w:i/>
      <w:iCs/>
      <w:color w:val="0F4761" w:themeColor="accent1" w:themeShade="BF"/>
    </w:rPr>
  </w:style>
  <w:style w:type="paragraph" w:styleId="IntenseQuote">
    <w:name w:val="Intense Quote"/>
    <w:basedOn w:val="Normal"/>
    <w:next w:val="Normal"/>
    <w:link w:val="IntenseQuoteChar"/>
    <w:uiPriority w:val="30"/>
    <w:qFormat/>
    <w:rsid w:val="00AB3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3E46"/>
    <w:rPr>
      <w:i/>
      <w:iCs/>
      <w:color w:val="0F4761" w:themeColor="accent1" w:themeShade="BF"/>
    </w:rPr>
  </w:style>
  <w:style w:type="character" w:styleId="IntenseReference">
    <w:name w:val="Intense Reference"/>
    <w:basedOn w:val="DefaultParagraphFont"/>
    <w:uiPriority w:val="32"/>
    <w:qFormat/>
    <w:rsid w:val="00AB3E46"/>
    <w:rPr>
      <w:b/>
      <w:bCs/>
      <w:smallCaps/>
      <w:color w:val="0F4761" w:themeColor="accent1" w:themeShade="BF"/>
      <w:spacing w:val="5"/>
    </w:rPr>
  </w:style>
  <w:style w:type="character" w:styleId="BookTitle">
    <w:name w:val="Book Title"/>
    <w:basedOn w:val="DefaultParagraphFont"/>
    <w:uiPriority w:val="33"/>
    <w:qFormat/>
    <w:rsid w:val="00AB3E46"/>
    <w:rPr>
      <w:b/>
      <w:bCs/>
      <w:i/>
      <w:iCs/>
      <w:spacing w:val="5"/>
    </w:rPr>
  </w:style>
  <w:style w:type="paragraph" w:styleId="Caption">
    <w:name w:val="caption"/>
    <w:basedOn w:val="Normal"/>
    <w:next w:val="Normal"/>
    <w:uiPriority w:val="35"/>
    <w:semiHidden/>
    <w:unhideWhenUsed/>
    <w:qFormat/>
    <w:rsid w:val="00AB3E46"/>
    <w:pPr>
      <w:spacing w:after="200" w:line="240" w:lineRule="auto"/>
    </w:pPr>
    <w:rPr>
      <w:i/>
      <w:iCs/>
      <w:color w:val="0E2841" w:themeColor="text2"/>
      <w:sz w:val="18"/>
      <w:szCs w:val="18"/>
    </w:rPr>
  </w:style>
  <w:style w:type="character" w:styleId="Emphasis">
    <w:name w:val="Emphasis"/>
    <w:basedOn w:val="DefaultParagraphFont"/>
    <w:uiPriority w:val="20"/>
    <w:qFormat/>
    <w:rsid w:val="00AB3E46"/>
    <w:rPr>
      <w:i/>
      <w:iCs/>
    </w:rPr>
  </w:style>
  <w:style w:type="paragraph" w:styleId="NoSpacing">
    <w:name w:val="No Spacing"/>
    <w:uiPriority w:val="1"/>
    <w:qFormat/>
    <w:rsid w:val="00AB3E46"/>
    <w:pPr>
      <w:spacing w:after="0" w:line="240" w:lineRule="auto"/>
    </w:pPr>
  </w:style>
  <w:style w:type="character" w:styleId="Strong">
    <w:name w:val="Strong"/>
    <w:basedOn w:val="DefaultParagraphFont"/>
    <w:uiPriority w:val="22"/>
    <w:qFormat/>
    <w:rsid w:val="00AB3E46"/>
    <w:rPr>
      <w:b/>
      <w:bCs/>
    </w:rPr>
  </w:style>
  <w:style w:type="character" w:styleId="SubtleEmphasis">
    <w:name w:val="Subtle Emphasis"/>
    <w:basedOn w:val="DefaultParagraphFont"/>
    <w:uiPriority w:val="19"/>
    <w:qFormat/>
    <w:rsid w:val="00AB3E46"/>
    <w:rPr>
      <w:i/>
      <w:iCs/>
      <w:color w:val="404040" w:themeColor="text1" w:themeTint="BF"/>
    </w:rPr>
  </w:style>
  <w:style w:type="character" w:styleId="SubtleReference">
    <w:name w:val="Subtle Reference"/>
    <w:basedOn w:val="DefaultParagraphFont"/>
    <w:uiPriority w:val="31"/>
    <w:qFormat/>
    <w:rsid w:val="00AB3E46"/>
    <w:rPr>
      <w:smallCaps/>
      <w:color w:val="5A5A5A" w:themeColor="text1" w:themeTint="A5"/>
    </w:rPr>
  </w:style>
  <w:style w:type="paragraph" w:styleId="TOCHeading">
    <w:name w:val="TOC Heading"/>
    <w:basedOn w:val="Heading1"/>
    <w:next w:val="Normal"/>
    <w:uiPriority w:val="39"/>
    <w:semiHidden/>
    <w:unhideWhenUsed/>
    <w:qFormat/>
    <w:rsid w:val="00AB3E46"/>
    <w:pPr>
      <w:spacing w:before="240" w:after="0"/>
      <w:outlineLvl w:val="9"/>
    </w:pPr>
    <w:rPr>
      <w:sz w:val="32"/>
      <w:szCs w:val="32"/>
    </w:rPr>
  </w:style>
  <w:style w:type="paragraph" w:styleId="NormalWeb">
    <w:name w:val="Normal (Web)"/>
    <w:basedOn w:val="Normal"/>
    <w:uiPriority w:val="99"/>
    <w:semiHidden/>
    <w:unhideWhenUsed/>
    <w:rsid w:val="004210BF"/>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4210BF"/>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PlainTable1">
    <w:name w:val="Plain Table 1"/>
    <w:basedOn w:val="TableNormal"/>
    <w:uiPriority w:val="41"/>
    <w:rsid w:val="004210B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421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1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10BF"/>
  </w:style>
  <w:style w:type="paragraph" w:styleId="Footer">
    <w:name w:val="footer"/>
    <w:basedOn w:val="Normal"/>
    <w:link w:val="FooterChar"/>
    <w:uiPriority w:val="99"/>
    <w:unhideWhenUsed/>
    <w:rsid w:val="004210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10BF"/>
  </w:style>
  <w:style w:type="character" w:styleId="Hyperlink">
    <w:name w:val="Hyperlink"/>
    <w:basedOn w:val="DefaultParagraphFont"/>
    <w:uiPriority w:val="99"/>
    <w:unhideWhenUsed/>
    <w:rsid w:val="00CC2FAD"/>
    <w:rPr>
      <w:color w:val="467886" w:themeColor="hyperlink"/>
      <w:u w:val="single"/>
    </w:rPr>
  </w:style>
  <w:style w:type="character" w:styleId="UnresolvedMention">
    <w:name w:val="Unresolved Mention"/>
    <w:basedOn w:val="DefaultParagraphFont"/>
    <w:uiPriority w:val="99"/>
    <w:semiHidden/>
    <w:unhideWhenUsed/>
    <w:rsid w:val="00CC2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hra.gov.uk/yellowcard"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dicines.astrazeneca.co.uk/content/dam/multibrand/uk/en/prescribinginformation/lokelma-pi.pdf" TargetMode="External"/><Relationship Id="rId11" Type="http://schemas.openxmlformats.org/officeDocument/2006/relationships/hyperlink" Target="https://contactazmedical.astrazeneca.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mhra.gov.uk/yellowcard" TargetMode="External"/><Relationship Id="rId4" Type="http://schemas.openxmlformats.org/officeDocument/2006/relationships/footnotes" Target="footnotes.xml"/><Relationship Id="rId9" Type="http://schemas.openxmlformats.org/officeDocument/2006/relationships/hyperlink" Target="https://contactazmedical.astrazeneca.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1490</Words>
  <Characters>9826</Characters>
  <Application>Microsoft Office Word</Application>
  <DocSecurity>0</DocSecurity>
  <Lines>188</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Bennett Ortega, Paula</dc:creator>
  <cp:keywords/>
  <dc:description/>
  <cp:lastModifiedBy>Bennett Ortega, Paula</cp:lastModifiedBy>
  <cp:revision>2</cp:revision>
  <dcterms:created xsi:type="dcterms:W3CDTF">2026-10-16T14:42:00Z</dcterms:created>
  <dcterms:modified xsi:type="dcterms:W3CDTF">2026-10-16T14:42:00Z</dcterms:modified>
</cp:coreProperties>
</file>